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rFonts w:ascii="Calibri" w:hAnsi="Calibri" w:eastAsia="Calibri" w:cs="Calibri"/>
          <w:b/>
          <w:b/>
          <w:smallCaps/>
          <w:sz w:val="22"/>
          <w:szCs w:val="22"/>
        </w:rPr>
      </w:pPr>
      <w:r>
        <w:rPr>
          <w:rFonts w:eastAsia="Calibri" w:cs="Calibri" w:ascii="Calibri" w:hAnsi="Calibri"/>
          <w:b/>
          <w:smallCaps/>
          <w:sz w:val="22"/>
          <w:szCs w:val="22"/>
        </w:rPr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CONVOCAÇÃO PARA A 806ª REUNIÃO 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>Data: 16/09/2024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  <w:u w:val="single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antes do início da reunião, preenchendo um formulário específico fornecido pela secretaria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color w:val="000000"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2. Comunicações / Informes:</w:t>
      </w:r>
    </w:p>
    <w:p>
      <w:pPr>
        <w:pStyle w:val="LOnormal"/>
        <w:tabs>
          <w:tab w:val="clear" w:pos="720"/>
        </w:tabs>
        <w:spacing w:before="113" w:after="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FFFFFF" w:val="clear"/>
        </w:rPr>
        <w:t>Ata da reunião anterior realizada em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auto" w:val="clear"/>
        </w:rPr>
        <w:t xml:space="preserve"> 02 de setembro de 2024.</w:t>
      </w:r>
    </w:p>
    <w:p>
      <w:pPr>
        <w:pStyle w:val="Corpodotexto"/>
        <w:tabs>
          <w:tab w:val="clear" w:pos="720"/>
        </w:tabs>
        <w:ind w:left="709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3. Leitura, discussão e decisão dos seguintes processos e expedientes:</w:t>
      </w:r>
    </w:p>
    <w:p>
      <w:pPr>
        <w:pStyle w:val="LOnormal"/>
        <w:spacing w:lineRule="auto" w:line="360" w:before="0" w:after="120"/>
        <w:ind w:left="709" w:hanging="0"/>
        <w:jc w:val="both"/>
        <w:rPr>
          <w:color w:val="000000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 xml:space="preserve">3.1. 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PENDENTES</w:t>
      </w:r>
      <w:r>
        <w:rPr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 – Relativos a </w:t>
      </w: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3.2.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Processos pautados para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806ª REUNIÃO ORDINÁRIA  –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Relativos a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PATRIMÔNIO CULTURAL IMATERIAL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3.3.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pautados em reuniões anteriores,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PENDENTES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 – Relativos à aprovação de projetos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INTERVENÇÃO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em bens protegidos.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3.4.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806ª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protegidos.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3.5.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806ª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INDEFERIMENTO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por abandono ou não atendimento de comunique-se</w:t>
      </w:r>
    </w:p>
    <w:p>
      <w:pPr>
        <w:pStyle w:val="LOnormal"/>
        <w:spacing w:before="0" w:after="120"/>
        <w:jc w:val="both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PAUTADOS EM REUNIÕES ANTERIORES, PENDENTES DE DELIBERAÇÃO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A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7"/>
        <w:gridCol w:w="1706"/>
        <w:gridCol w:w="7267"/>
      </w:tblGrid>
      <w:tr>
        <w:trPr>
          <w:trHeight w:val="261" w:hRule="atLeast"/>
          <w:cantSplit w:val="true"/>
        </w:trPr>
        <w:tc>
          <w:tcPr>
            <w:tcW w:w="83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PROCESSO: 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6025.2020/0016288-6</w:t>
            </w:r>
          </w:p>
        </w:tc>
      </w:tr>
      <w:tr>
        <w:trPr>
          <w:trHeight w:val="347" w:hRule="atLeast"/>
          <w:cantSplit w:val="true"/>
        </w:trPr>
        <w:tc>
          <w:tcPr>
            <w:tcW w:w="8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Maria Isabel Rosado de Carvalho</w:t>
            </w:r>
          </w:p>
        </w:tc>
      </w:tr>
      <w:tr>
        <w:trPr>
          <w:trHeight w:val="347" w:hRule="atLeast"/>
          <w:cantSplit w:val="true"/>
        </w:trPr>
        <w:tc>
          <w:tcPr>
            <w:tcW w:w="8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Tombamento definitivo do sobrado</w:t>
            </w:r>
          </w:p>
        </w:tc>
      </w:tr>
      <w:tr>
        <w:trPr>
          <w:cantSplit w:val="true"/>
        </w:trPr>
        <w:tc>
          <w:tcPr>
            <w:tcW w:w="837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Rua Visconde de Ouro Preto, nºs 118 e 124 - Consolação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3.2. Processos pautados para a 806ª REUNIÃO ORDINÁRIA  – Relativos a PATRIMÔNIO CULTURAL</w:t>
      </w:r>
      <w:r>
        <w:rPr>
          <w:rFonts w:cs="" w:ascii="Calibri" w:hAnsi="Calibri" w:cstheme="minorHAnsi"/>
          <w:b/>
          <w:color w:val="C9211E"/>
          <w:sz w:val="22"/>
          <w:szCs w:val="22"/>
          <w:shd w:fill="B2B2B2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IMATERIAL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bCs/>
          <w:i w:val="false"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7"/>
        <w:gridCol w:w="1706"/>
        <w:gridCol w:w="7267"/>
      </w:tblGrid>
      <w:tr>
        <w:trPr>
          <w:trHeight w:val="261" w:hRule="atLeast"/>
          <w:cantSplit w:val="true"/>
        </w:trPr>
        <w:tc>
          <w:tcPr>
            <w:tcW w:w="837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</w:t>
            </w: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 xml:space="preserve"> 6025.2023/0031078-3</w:t>
            </w:r>
          </w:p>
        </w:tc>
      </w:tr>
      <w:tr>
        <w:trPr>
          <w:trHeight w:val="347" w:hRule="atLeast"/>
          <w:cantSplit w:val="true"/>
        </w:trPr>
        <w:tc>
          <w:tcPr>
            <w:tcW w:w="8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Instituto Filhos da Bahia – IFDB</w:t>
            </w:r>
          </w:p>
        </w:tc>
      </w:tr>
      <w:tr>
        <w:trPr>
          <w:trHeight w:val="347" w:hRule="atLeast"/>
          <w:cantSplit w:val="true"/>
        </w:trPr>
        <w:tc>
          <w:tcPr>
            <w:tcW w:w="837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Pedido de reconhecimento do Axé Music como Patrimônio Cultural Imaterial da Cidade de São Paulo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22"/>
          <w:szCs w:val="22"/>
        </w:rPr>
      </w:pPr>
      <w:r>
        <w:rPr>
          <w:rFonts w:cs="" w:cstheme="minorHAnsi" w:ascii="Calibri" w:hAnsi="Calibri"/>
          <w:b/>
          <w:color w:val="C9211E"/>
          <w:sz w:val="22"/>
          <w:szCs w:val="22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B3B3B3"/>
        <w:tabs>
          <w:tab w:val="clear" w:pos="720"/>
          <w:tab w:val="left" w:pos="450" w:leader="none"/>
          <w:tab w:val="left" w:pos="1134" w:leader="none"/>
        </w:tabs>
        <w:suppressAutoHyphens w:val="true"/>
        <w:overflowPunct w:val="true"/>
        <w:bidi w:val="0"/>
        <w:snapToGrid w:val="true"/>
        <w:spacing w:lineRule="auto" w:line="240" w:before="0" w:after="0"/>
        <w:ind w:left="567" w:right="0" w:hanging="45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0"/>
          <w:sz w:val="22"/>
          <w:szCs w:val="22"/>
        </w:rPr>
        <w:t>3.3. PROCESSOS PAUTADOS EM REUNIÕES ANTERIORES, PENDENTES DE DELIBERAÇÃO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shd w:fill="auto" w:val="clear"/>
                <w:lang w:bidi="ar-SA"/>
              </w:rPr>
              <w:t>6025.2023/0035793-3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Arquidiocese Católica Apostólica Ortodoxa Antioquina de São Paulo e todo o Brasil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 xml:space="preserve">Regularização das intervenções realizadas na Igreja Ortodoxa Antioquina de Nossa Senhora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Cavaleiro Basílio Jafet, nº 115 – Centro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59"/>
        <w:gridCol w:w="7267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shd w:fill="auto" w:val="clear"/>
                <w:lang w:bidi="ar-SA"/>
              </w:rPr>
              <w:t>PROCESSO: 6025.2022/0015942-0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  <w:shd w:fill="auto" w:val="clear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  <w:t>American Tower Do Brasil Cessão De Infra-Estrutura LTDA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Recurso interposto contra a decisão da 780ª Reunião Ordinária do CONPRESP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  <w:t>Praça Cornélia, s/nº - Lapa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59"/>
        <w:gridCol w:w="7267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 xml:space="preserve">PROCESSO: </w:t>
            </w: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shd w:fill="auto" w:val="clear"/>
                <w:lang w:bidi="ar-SA"/>
              </w:rPr>
              <w:t>6025.2021/0023050-6</w:t>
            </w:r>
          </w:p>
        </w:tc>
      </w:tr>
      <w:tr>
        <w:trPr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  <w:shd w:fill="FFFFFF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>Relatores: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Forte2"/>
                <w:rFonts w:eastAsia="Calibri" w:cs="" w:ascii="Calibri" w:hAnsi="Calibri" w:cstheme="minorHAnsi"/>
                <w:i w:val="false"/>
                <w:caps w:val="false"/>
                <w:smallCaps w:val="false"/>
                <w:color w:val="000000"/>
                <w:sz w:val="22"/>
                <w:szCs w:val="22"/>
                <w:shd w:fill="auto" w:val="clear"/>
              </w:rPr>
              <w:t>Marília Barbour(DPH)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DPH/Núcleo de Projeto, Restauro e Conservação (SMC/DPH-NPRC)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Recurso interposto contra a decisão da 797ª Reunião Ordinária do CONPRESP 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Guabiju, nº 33 – Tatuapé</w:t>
            </w:r>
          </w:p>
        </w:tc>
      </w:tr>
      <w:tr>
        <w:trPr>
          <w:trHeight w:val="310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FFFFFF" w:val="clear"/>
              </w:rPr>
              <w:t>Parecer DPH: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right="12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Deliberação quan</w:t>
            </w: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  <w:t>to a</w:t>
            </w: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 possibilidade de firmar Termo de Ajustamento de Conduta - TAC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59"/>
        <w:gridCol w:w="7267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6025.2021/0000346-1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Intelecto Participações LTDA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Doutor Eduardo Gonçalves, nºs 73 e 75 - Mooca - Lotes 11 e 12 da Quadra 01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59"/>
        <w:gridCol w:w="7267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6025.2020/0013922-1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Arcos Bar E Restaurante LTDA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Pedido de instalação temporária no Theatro Municipal -  Bar dos Arcos 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Ramos de Azevedo, S/N - República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59"/>
        <w:gridCol w:w="7267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6025.2021/0008949-8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Ian Ioannis Papadopoulos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Recurso interposto contra a decisão da 781ª  Reunião Ordinária do CONPRESP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Jandaia, nº 130 - Bela Vista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pageBreakBefore w:val="false"/>
        <w:shd w:val="clear" w:fill="B3B3B3"/>
        <w:tabs>
          <w:tab w:val="clear" w:pos="720"/>
          <w:tab w:val="left" w:pos="567" w:leader="none"/>
        </w:tabs>
        <w:spacing w:lineRule="auto" w:line="240" w:before="0" w:after="0"/>
        <w:jc w:val="both"/>
        <w:rPr/>
      </w:pP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3.4. PROCESSOS PAUTADOS PARA A 806ª REUNIÃO ORDINÁRIA – RELATIVOS À APROVAÇÃO DE PROJETOS DE INTERVENÇÃO EM BENS PROTEGIDOS</w:t>
      </w:r>
    </w:p>
    <w:p>
      <w:pPr>
        <w:pStyle w:val="Normal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6025.2023/0038424-8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Somos Sistemas De Ensino S.A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para o imóvel do Liceu Pasteur (Liceu Franco Brasileiro de São Paulo)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Mairinque, nº 256 - Vila Clementino</w:t>
            </w:r>
          </w:p>
        </w:tc>
      </w:tr>
    </w:tbl>
    <w:p>
      <w:pPr>
        <w:pStyle w:val="Normal"/>
        <w:rPr>
          <w:rFonts w:ascii="Calibri" w:hAnsi="Calibri"/>
          <w:color w:val="C9211E"/>
          <w:sz w:val="22"/>
          <w:szCs w:val="22"/>
        </w:rPr>
      </w:pPr>
      <w:r>
        <w:rPr>
          <w:rFonts w:ascii="Calibri" w:hAnsi="Calibri"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6025.2022/0009309-8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Pequena Obra da Divina Providência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do imóvel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Treze de Maio, nºs 467/469/471 - Bela Vista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6025.2023/0024271-0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Paulo Martins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do imóvel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Antonieta Leitão, nº 67 - Freguesia do Ó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6025.2023/0029639-0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Emerson Martins Moreira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autorização para a realização de obras de infraestrutura visando à construção de Linhas de Recalque e Coletores Tronco pela SABESP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Perímetro das áreas envoltórias de proteção do Conjunto das Estações Ferroviárias do Jaraguá e de Perus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6025.2020/0028256-3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Yuri Correa da Luz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Benito Juarez, nº 107 -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6025.2023/0002985-5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Instituto Maria Imaculada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e regularização do Colégio Maria Imaculada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  <w:t>Avenida Nazaré, nº 711 - Ipiranga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6025.2021/0028658-7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Magno Emílio Moreira Leite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Nfase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Alceu Wamosy, nº 238 -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6025.2023/0021891-7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Paróquia Armênia Católica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da Igreja Armênia do Rito Oriental Católico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Tiradentes, nº 718 e Rua Doutor Rodrigo de Bastos, nº 180 - Luz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6025.2019/0022423-5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Condomínio Edifício Metropolitano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visando à realização de obras de adequação às normas de acessibilidade na Galeria Metrópole e Edifício Maximus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Praça Dom José Gaspar, nº 134 e Avenida São Luís, nº 105 - República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6025.2019/0014817-2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bidi="ar-SA"/>
              </w:rPr>
              <w:t>Secretaria Municipal de Cultura</w:t>
            </w: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shd w:fill="auto" w:val="clear"/>
                <w:lang w:bidi="ar-SA"/>
              </w:rPr>
              <w:t xml:space="preserve">  - SMC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manutenção para a atual Biblioteca Pública Municipal Roberto Santos, antiga Biblioteca Municipal do Ipiranga – Ministro Genésio de Almeida Moura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Cisplatina, nº 505 - Ipiranga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6025.2022/0016205-7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 / SEDUC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e restauro do casarão anexo ao antigo Colégio Visconde de Porto Seguro, atual E.E. Caetano de Campos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João Guimarães Rosa, nº 129 - Consolação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7810.2024/0000059-0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Núcleo de Desenho Urbano (SP-URB/DDU-NDU)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Projeto de Requalificação Urbana do Centro da Lapa 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William Speers (entre a Rua Belchior Carneiro e Rua Calendário), a Rua John Harrison (entre a Praça Melvim Jones e a Rua 12 de Outubro), a Rua Conrado Moreschi, a Praça Melvim Jones (junto ao Mercado da Lapa), a Rua Dr. Cincinato Pomponet, a Rua 12 de Outubro (entre a Rua Dr. Cincinato Pomponet e a Rua Afonso Sardinha), a Rua Nossa Senhora da Lapa (entre o Viaduto Comendador Elias Nagib Breim e a Rua Afonso Sardinha), a Rua Trajano (entre o Viaduto Comendador Elias Nagib Breim e a Rua Joaquim Machado) e a Rua Guaicurus (entre a Viela Ema A. Murari e a Rua Catão)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6025.2024/0004518-6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Juliana Lopez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Regularização da instalação de toldo voltado para a Rua Major Diogo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Major Diogo, nº 727 -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rPr/>
      </w:pP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3.5. PROCESSOS PAUTADOS PARA A 806ª REUNIÃO ORDINÁRIA – COM PROPOSTA DE INDEFERIMENTO POR ABANDONO OU</w:t>
      </w:r>
      <w:r>
        <w:rPr>
          <w:rFonts w:ascii="Calibri" w:hAnsi="Calibri"/>
          <w:bCs w:val="false"/>
          <w:i w:val="false"/>
          <w:iC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 </w:t>
      </w: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NÃO ATENDIMENTO DE COMUNIQUE-SE</w:t>
      </w:r>
    </w:p>
    <w:p>
      <w:pPr>
        <w:pStyle w:val="Normal"/>
        <w:rPr>
          <w:rStyle w:val="Fontepargpadro"/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6025.2019/0021485-0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Empresa Brasileira De Infraestrutura Aeroportuária - INFRAERO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construção nova de plataforma de acessibilidade no Aeroporto de Congonhas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Washington Luís - Aeroporto de São Paulo/ Congonhas, nº s/n - Vila Congonhas</w:t>
            </w:r>
          </w:p>
        </w:tc>
      </w:tr>
    </w:tbl>
    <w:p>
      <w:pPr>
        <w:pStyle w:val="Normal"/>
        <w:spacing w:lineRule="auto" w:line="240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6025.2024/0009665-1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PLAYSAGAZ Projetos Corporativos e Lazer EIRELI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realização de evento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Viaduto do Chá</w:t>
            </w:r>
          </w:p>
        </w:tc>
      </w:tr>
    </w:tbl>
    <w:p>
      <w:pPr>
        <w:pStyle w:val="Normal"/>
        <w:spacing w:lineRule="auto" w:line="240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6025.2024/0016476-2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Club Athletico Paulistano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realização de eventos/instalação temporária no CLUB ATHLETICO PAULISTANO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Honduras nº 1400, no Jardim América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6025.2024/0009176-5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Centro de Cultura Informação e Meio Ambiente - CIMA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realização de evento no Ginásio do Ibirapuera/Ginásio Mauro Pinheiro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R. Manuel da Nóbrega, 1.361/R. Abílio Soares, 1.300 – Ibirapuera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6025.2023/0011231-0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HIGHLINE do Brasil II Infraestrutura de Telecomunicações S.A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de Estação Rádio Base - ERB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Joaquim Antunes, nº 149 - Jardim América</w:t>
            </w:r>
          </w:p>
        </w:tc>
      </w:tr>
    </w:tbl>
    <w:p>
      <w:pPr>
        <w:pStyle w:val="Normal"/>
        <w:rPr>
          <w:rFonts w:ascii="Calibri" w:hAnsi="Calibri"/>
          <w:color w:val="C9211E"/>
          <w:sz w:val="22"/>
          <w:szCs w:val="22"/>
          <w:shd w:fill="FFFFFF" w:val="clear"/>
        </w:rPr>
      </w:pPr>
      <w:r>
        <w:rPr>
          <w:rFonts w:ascii="Calibri" w:hAnsi="Calibri"/>
          <w:color w:val="C9211E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6025.2021/0015254-8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Eveny Tamaky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demolição e 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Alceu Wamosy, nºs 238 e 250 e Rua Nicolau de Sousa Queirós, nºs 458, 466, 462, 470, 484 e 494 - Vila Mariana</w:t>
            </w:r>
          </w:p>
        </w:tc>
      </w:tr>
    </w:tbl>
    <w:p>
      <w:pPr>
        <w:pStyle w:val="Normal"/>
        <w:rPr>
          <w:rFonts w:ascii="Calibri" w:hAnsi="Calibri"/>
          <w:color w:val="C9211E"/>
          <w:sz w:val="22"/>
          <w:szCs w:val="22"/>
          <w:shd w:fill="FFFFFF" w:val="clear"/>
        </w:rPr>
      </w:pPr>
      <w:r>
        <w:rPr>
          <w:rFonts w:ascii="Calibri" w:hAnsi="Calibri"/>
          <w:color w:val="C9211E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6025.2021/0023496-0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Condomínio Edifício IAB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do Edifício Sede do IAB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Bento Freitas, nºs 306/314 - República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6025.2023/0030157-1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José Carlos Ramos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de imóvel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Rubino de Oliveira, 353 – Brás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6025.2023/0013161-7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Secretaria de Educação do Estado de São Paulo/SEDUC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reforma da EE Visconde de Congonhas do Campo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Tuiuti, nº 2.051 - Tatuapé</w:t>
            </w:r>
          </w:p>
        </w:tc>
      </w:tr>
    </w:tbl>
    <w:p>
      <w:pPr>
        <w:pStyle w:val="Normal"/>
        <w:pageBreakBefore w:val="false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Times New Roman" w:cs="Calibri"/>
                <w:color w:val="000000"/>
                <w:sz w:val="22"/>
                <w:szCs w:val="22"/>
                <w:lang w:bidi="ar-SA"/>
              </w:rPr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6025.2021/0002151-6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ANTONIO CARLOS BARROSO DE SIQUEIRA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Indeferimento por abandono do pedido de assinatura de Termo de Compromisso de viabilização da Transferência do Direito de Construir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da Liberdade, nº 688 a 702 - Liberdade</w:t>
            </w:r>
          </w:p>
        </w:tc>
      </w:tr>
    </w:tbl>
    <w:p>
      <w:pPr>
        <w:pStyle w:val="Normal"/>
        <w:spacing w:lineRule="auto" w:line="240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6025.2021/0022074-8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JPC PARTICIPAÇÕES EMPREEND.E SERVIÇOS LTDA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Indeferimento por abandono do pedido de assinatura de Termo de Compromisso de viabilização da Transferência do Direito de Construir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Santa Efigênia, nºs 401/403/407 - Santa Efigênia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  <w:shd w:fill="FFFFFF" w:val="clear"/>
        </w:rPr>
      </w:pPr>
      <w:r>
        <w:rPr>
          <w:rFonts w:ascii="Calibri" w:hAnsi="Calibri"/>
          <w:sz w:val="22"/>
          <w:szCs w:val="22"/>
          <w:shd w:fill="FFFFFF" w:val="clear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6025.2023/0017488-0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ADALGISA GIRARDELLI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Indeferimento por abandono do pedido de assinatura de Termo de Compromisso para viabilização da Transferência do Direito de Construir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Praça da Liberdade, nºs 83/85 – Liberdade 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tbl>
      <w:tblPr>
        <w:tblW w:w="9870" w:type="dxa"/>
        <w:jc w:val="left"/>
        <w:tblInd w:w="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706"/>
        <w:gridCol w:w="7320"/>
      </w:tblGrid>
      <w:tr>
        <w:trPr>
          <w:trHeight w:val="261" w:hRule="atLeast"/>
          <w:cantSplit w:val="true"/>
        </w:trPr>
        <w:tc>
          <w:tcPr>
            <w:tcW w:w="844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6025.2023/0011248-5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Karina Galdi</w:t>
            </w:r>
          </w:p>
        </w:tc>
      </w:tr>
      <w:tr>
        <w:trPr>
          <w:trHeight w:val="347" w:hRule="atLeast"/>
          <w:cantSplit w:val="true"/>
        </w:trPr>
        <w:tc>
          <w:tcPr>
            <w:tcW w:w="844" w:type="dxa"/>
            <w:vMerge w:val="continue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Indeferimento por abandono do pedido de conservação</w:t>
            </w:r>
          </w:p>
        </w:tc>
      </w:tr>
      <w:tr>
        <w:trPr>
          <w:trHeight w:val="167" w:hRule="atLeast"/>
          <w:cantSplit w:val="true"/>
        </w:trPr>
        <w:tc>
          <w:tcPr>
            <w:tcW w:w="844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numPr>
                <w:ilvl w:val="0"/>
                <w:numId w:val="1"/>
              </w:numPr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São João, nºs 526, 530, 536, 538 e 544 - Centro</w:t>
            </w:r>
          </w:p>
        </w:tc>
      </w:tr>
    </w:tbl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Ttulo31"/>
        <w:numPr>
          <w:ilvl w:val="0"/>
          <w:numId w:val="1"/>
        </w:numPr>
        <w:shd w:val="clear" w:fill="B3B3B3"/>
        <w:tabs>
          <w:tab w:val="clear" w:pos="720"/>
          <w:tab w:val="left" w:pos="0" w:leader="none"/>
        </w:tabs>
        <w:spacing w:lineRule="auto" w:line="360"/>
        <w:jc w:val="both"/>
        <w:rPr>
          <w:rFonts w:ascii="Calibri" w:hAnsi="Calibri"/>
        </w:rPr>
      </w:pP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TEMAS GERAIS/EXTRAPAUTA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 09/09/2024 – P. 52-54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/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25"/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rte">
    <w:name w:val="Forte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20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stParagraph">
    <w:name w:val="List Paragraph"/>
    <w:basedOn w:val="LOnormal"/>
    <w:qFormat/>
    <w:pPr>
      <w:ind w:left="708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1846</TotalTime>
  <Application>LibreOffice/7.1.7.2$Windows_X86_64 LibreOffice_project/c6a4e3954236145e2acb0b65f68614365aeee33f</Application>
  <AppVersion>15.0000</AppVersion>
  <Pages>7</Pages>
  <Words>1573</Words>
  <Characters>9500</Characters>
  <CharactersWithSpaces>10842</CharactersWithSpaces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2024-09-04T14:40:33Z</cp:lastPrinted>
  <dcterms:modified xsi:type="dcterms:W3CDTF">2024-09-09T09:22:07Z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