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8D95" w14:textId="75386610" w:rsidR="00304903" w:rsidRDefault="006352F3">
      <w:pPr>
        <w:jc w:val="center"/>
      </w:pPr>
      <w:r>
        <w:rPr>
          <w:rFonts w:ascii="Arial" w:hAnsi="Arial" w:cs="Arial"/>
          <w:b/>
          <w:bCs/>
          <w:sz w:val="32"/>
          <w:szCs w:val="32"/>
          <w:u w:val="single"/>
        </w:rPr>
        <w:t>16</w:t>
      </w:r>
      <w:r w:rsidR="00BB3F0B">
        <w:rPr>
          <w:rFonts w:ascii="Arial" w:hAnsi="Arial" w:cs="Arial"/>
          <w:b/>
          <w:bCs/>
          <w:sz w:val="32"/>
          <w:szCs w:val="32"/>
          <w:u w:val="single"/>
        </w:rPr>
        <w:t>.12.2024</w:t>
      </w:r>
    </w:p>
    <w:p w14:paraId="0A927608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FC6CFC6" w14:textId="77777777" w:rsidR="00304903" w:rsidRDefault="0030490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91DA19D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0CDF734" w14:textId="77777777" w:rsidR="00304903" w:rsidRDefault="0030490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8914068" w14:textId="77777777" w:rsidR="00304903" w:rsidRDefault="00BB3F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>
        <w:rPr>
          <w:rFonts w:ascii="Arial" w:hAnsi="Arial" w:cs="Arial"/>
          <w:b/>
          <w:bCs/>
        </w:rPr>
        <w:t xml:space="preserve"> </w:t>
      </w:r>
    </w:p>
    <w:p w14:paraId="455CBC70" w14:textId="77777777" w:rsidR="006352F3" w:rsidRPr="006352F3" w:rsidRDefault="006352F3" w:rsidP="006352F3">
      <w:pPr>
        <w:jc w:val="both"/>
        <w:rPr>
          <w:rFonts w:ascii="Arial" w:hAnsi="Arial" w:cs="Arial"/>
          <w:b/>
          <w:bCs/>
          <w:u w:val="single"/>
        </w:rPr>
      </w:pPr>
      <w:r w:rsidRPr="006352F3">
        <w:rPr>
          <w:rFonts w:ascii="Arial" w:hAnsi="Arial" w:cs="Arial"/>
          <w:b/>
          <w:bCs/>
          <w:u w:val="single"/>
        </w:rPr>
        <w:t>Documento: 116168431 | Despacho</w:t>
      </w:r>
    </w:p>
    <w:p w14:paraId="11B5E2E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DO PROCESSO ADMINISTRATIVO SEI N.º 6064.2024/0000411-3</w:t>
      </w:r>
    </w:p>
    <w:p w14:paraId="09CEF6C4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INTERESSADA: Dirceu Longo &amp; Cia Ltda.</w:t>
      </w:r>
    </w:p>
    <w:p w14:paraId="63DD62D1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ASSUNTO: Pregão Eletrônico Edital n.º 018/2023/SMDET - Empresa para fornecimento de 107 ventiladores de coluna para uso interno nas unidades do Cate - Centro de Apoio ao Trabalhador e Empreendedorismo pertencentes à Secretaria de Desenvolvimento Econômico e Trabalho (SMDET), conforme condições, e especificações técnicas</w:t>
      </w:r>
    </w:p>
    <w:p w14:paraId="3F24CCCF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contidas no termo de referência Anexo I do Edital - INSTAURAÇÃO DE PROCEDIMENTO DE APLICAÇÃO DE PENALIDADE: MULTA E SUSPENSÃO</w:t>
      </w:r>
    </w:p>
    <w:p w14:paraId="01D1F5B9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TEMPORÁRIA</w:t>
      </w:r>
    </w:p>
    <w:p w14:paraId="6ECC697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DESPACHO</w:t>
      </w:r>
    </w:p>
    <w:p w14:paraId="32F7AB7E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 - No exercício da competência delegada à Chefe de Gabinete desta Pasta por meio da Portaria 038/2013/SDTE-GAB, de 25 de setembro de 2013, inciso II do art. 1º, e à</w:t>
      </w:r>
    </w:p>
    <w:p w14:paraId="627ACB7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vista dos elementos constantes do presente, especialmente pelo doc. 109420662, por meio do qual o fiscal do contrato se manifesta e aponta o descumprimento das</w:t>
      </w:r>
    </w:p>
    <w:p w14:paraId="1BDCE4D5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obrigações descritas na Cláusula 4.2, subcláusula 4.2.2, inciso I, propondo a instauração do devido procedimento administrativo; que adoto como razão de decidir, ACOLHO a PROPOSTA apresentada e DETERMINO a INSTAURAÇÃO DE PROCEDIMENTO DE APLICAÇÃO DE PENALIDADE em face da empresa DIRCEU LONGO &amp;</w:t>
      </w:r>
    </w:p>
    <w:p w14:paraId="04438D3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CIA LTDA - EPP, inscrita no CNPJ n. 92.823.764/0001-03, visando à aplicação da PENALIDADE de MULTA de 15% do valor do contrato, descrita na Cláusula 4.2,</w:t>
      </w:r>
    </w:p>
    <w:p w14:paraId="2E8DDFB6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lastRenderedPageBreak/>
        <w:t>subcláusula 4.2.2, inciso I da Nota de Empenho 119.533/2023 (100595547), E SUSPENSÃO TEMPORÁRIA de participação em licitação e impedimento de contratar</w:t>
      </w:r>
    </w:p>
    <w:p w14:paraId="13CC0357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com a Administração Pública, prevista na Lei de Licitações aplicável, prevista no art. 87, inciso III, pelo prazo de 12 (doze) meses.</w:t>
      </w:r>
    </w:p>
    <w:p w14:paraId="14A8D941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II - Após, encaminhem-se os autos à Supervisão de Contratos, Convênios e Parcerias, para INTIMAR a contratada, pessoalmente, por meio de seu representante legal ou</w:t>
      </w:r>
    </w:p>
    <w:p w14:paraId="2CA35261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carta com aviso de recebimento, nos termos do inciso II, art. 54 do Decreto n° 47.014/2006 e DETERMINO que no bojo da intimação conste o prazo de 05 (cinco) dias</w:t>
      </w:r>
    </w:p>
    <w:p w14:paraId="109C1CD2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úteis contados da data da intimação para apresentar DEFESA PRÉVIA, nos termos do artigo 87, §2° da Lei n.º 8.666/93.</w:t>
      </w:r>
    </w:p>
    <w:p w14:paraId="500A6600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III - PUBLIQUE-SE.</w:t>
      </w:r>
    </w:p>
    <w:p w14:paraId="39F7F34E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IV - Decorrido o prazo supracitado:</w:t>
      </w:r>
    </w:p>
    <w:p w14:paraId="783DC0FD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a) Colham-se as manifestações do gestor do contrato, das áreas requisitantes e da Assessoria Jurídica desta Pasta sobre as razões de Defesa eventualmente apresentada; e</w:t>
      </w:r>
    </w:p>
    <w:p w14:paraId="742198F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b) Retorne o processo, na sequência, para deliberação da autoridade competente.</w:t>
      </w:r>
    </w:p>
    <w:p w14:paraId="47F5A9F9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Documento: 116187383 | Despacho</w:t>
      </w:r>
    </w:p>
    <w:p w14:paraId="36868D80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DO PROCESSO ADMINISTRATIVO SEI N.º 6064.2024/0001376-7</w:t>
      </w:r>
    </w:p>
    <w:p w14:paraId="62EF2B62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INTERESSADA: Claro S.A.</w:t>
      </w:r>
    </w:p>
    <w:p w14:paraId="0C603E2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 xml:space="preserve">ASSUNTO: Contrato 011/2022/SMDET 114069179 </w:t>
      </w:r>
      <w:proofErr w:type="gramStart"/>
      <w:r w:rsidRPr="006352F3">
        <w:rPr>
          <w:rFonts w:ascii="Arial" w:hAnsi="Arial" w:cs="Arial"/>
        </w:rPr>
        <w:t>cujo o</w:t>
      </w:r>
      <w:proofErr w:type="gramEnd"/>
      <w:r w:rsidRPr="006352F3">
        <w:rPr>
          <w:rFonts w:ascii="Arial" w:hAnsi="Arial" w:cs="Arial"/>
        </w:rPr>
        <w:t xml:space="preserve"> objeto é a Prestação de Serviço Móvel Pessoal (voz e dados), com a disponibilização de terminais móveis em</w:t>
      </w:r>
    </w:p>
    <w:p w14:paraId="633DE337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regime de comodato (smartphones e SIM Cards), cujas características e especificações técnicas encontram-se descritas no Termo de Referência - INSTAURAÇÃO DE</w:t>
      </w:r>
    </w:p>
    <w:p w14:paraId="5842AEE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PROCEDIMENTO DE APLICAÇÃO DE PENALIDADE: ADVERTÊNCIA</w:t>
      </w:r>
    </w:p>
    <w:p w14:paraId="113C289D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DESPACHO</w:t>
      </w:r>
    </w:p>
    <w:p w14:paraId="4BEEC2F6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 - No exercício da competência delegada à Chefe de Gabinete desta Pasta por meio da Portaria 038/2013/SDTE-GAB, de 25 de setembro de 2013, inciso II do art. 1º, e à</w:t>
      </w:r>
    </w:p>
    <w:p w14:paraId="21BA2C7D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lastRenderedPageBreak/>
        <w:t>vista dos elementos constantes do presente, especialmente pelo doc. 115528119, por meio do qual o fiscal do contrato se manifesta e aponta o descumprimento das</w:t>
      </w:r>
    </w:p>
    <w:p w14:paraId="7E497812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obrigações pactuadas em Contrato _011_2022_SMDET (114069179), conforme especificado no relatório de fiscalização doc. 114069621, propondo a instauração do devido</w:t>
      </w:r>
    </w:p>
    <w:p w14:paraId="63904160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procedimento administrativo; que adoto como razão de decidir, ACOLHO a PROPOSTA apresentada e DETERMINO a INSTAURAÇÃO DE PROCEDIMENTO DE</w:t>
      </w:r>
    </w:p>
    <w:p w14:paraId="3028DD0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APLICAÇÃO DE PENALIDADE em face da empresa Claro S.A., inscrita no CNPJ n. 40.432.544/0001-47, visando a aplicação da PENALIDADE de ADVERTÊNCIA</w:t>
      </w:r>
    </w:p>
    <w:p w14:paraId="2AB38D77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prevista na cláusula 10.1, alínea a do contrato 011/2022/SMDET 114069179, bem como no artigo 156, I da Lei 14.133/2021.</w:t>
      </w:r>
    </w:p>
    <w:p w14:paraId="4546CBBF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 xml:space="preserve">II - Após encaminhem-se os autos à Supervisão de Contratos, Convênios e Parcerias, para INTIMAR a contratada </w:t>
      </w:r>
      <w:proofErr w:type="gramStart"/>
      <w:r w:rsidRPr="006352F3">
        <w:rPr>
          <w:rFonts w:ascii="Arial" w:hAnsi="Arial" w:cs="Arial"/>
        </w:rPr>
        <w:t>para, que</w:t>
      </w:r>
      <w:proofErr w:type="gramEnd"/>
      <w:r w:rsidRPr="006352F3">
        <w:rPr>
          <w:rFonts w:ascii="Arial" w:hAnsi="Arial" w:cs="Arial"/>
        </w:rPr>
        <w:t xml:space="preserve"> no prazo de 05 (cinco) dias úteis contados da</w:t>
      </w:r>
    </w:p>
    <w:p w14:paraId="48033D19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intimação, apresentar DEFESA PRÉVIA, nos termos do artigo 54, incisos II e III, e artigo 57, do Decreto Municipal n.º 44.279/2003.</w:t>
      </w:r>
    </w:p>
    <w:p w14:paraId="3F4BB256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III - PUBLIQUE-SE.</w:t>
      </w:r>
    </w:p>
    <w:p w14:paraId="5605674E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IV - Decorrido o prazo supracitado:</w:t>
      </w:r>
    </w:p>
    <w:p w14:paraId="285901E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a) Colham-se as manifestações do gestor do contrato, das áreas requisitantes e da Assessoria Jurídica desta Pasta sobre as razões de Defesa eventualmente apresentada; e</w:t>
      </w:r>
    </w:p>
    <w:p w14:paraId="7417AA74" w14:textId="79AB3B08" w:rsidR="0030490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b) Retorne o processo, na sequência, para deliberação da autoridade competente.</w:t>
      </w:r>
      <w:r w:rsidRPr="006352F3">
        <w:rPr>
          <w:rFonts w:ascii="Arial" w:hAnsi="Arial" w:cs="Arial"/>
        </w:rPr>
        <w:cr/>
      </w:r>
    </w:p>
    <w:p w14:paraId="49EFDBAB" w14:textId="77777777" w:rsidR="00BB3F0B" w:rsidRPr="006352F3" w:rsidRDefault="00BB3F0B" w:rsidP="00BB3F0B">
      <w:pPr>
        <w:jc w:val="both"/>
        <w:rPr>
          <w:rFonts w:ascii="Arial" w:hAnsi="Arial" w:cs="Arial"/>
        </w:rPr>
      </w:pPr>
    </w:p>
    <w:p w14:paraId="3B1D3F49" w14:textId="77777777" w:rsidR="006352F3" w:rsidRPr="006352F3" w:rsidRDefault="006352F3" w:rsidP="006352F3">
      <w:pPr>
        <w:jc w:val="both"/>
        <w:rPr>
          <w:rFonts w:ascii="Arial" w:hAnsi="Arial" w:cs="Arial"/>
          <w:b/>
          <w:bCs/>
          <w:u w:val="single"/>
        </w:rPr>
      </w:pPr>
      <w:r w:rsidRPr="006352F3">
        <w:rPr>
          <w:rFonts w:ascii="Arial" w:hAnsi="Arial" w:cs="Arial"/>
          <w:b/>
          <w:bCs/>
          <w:u w:val="single"/>
        </w:rPr>
        <w:t>Documento: 116054962 | Despacho deferido</w:t>
      </w:r>
    </w:p>
    <w:p w14:paraId="6C11A3E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Despacho Autorizador</w:t>
      </w:r>
    </w:p>
    <w:p w14:paraId="7BCA446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Processo SEI Nº 6064.2022/0000631-7.</w:t>
      </w:r>
    </w:p>
    <w:p w14:paraId="19AE77E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Interessado: SMDET - SECRETARIA MUNICIPAL DE DESENVOLVIMENTO ECONÔMICO E TRABALHO - CNPJ. 04.537.740/0001-12.</w:t>
      </w:r>
    </w:p>
    <w:p w14:paraId="553A04E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Assunto: Permissão e Autorização de Evento Temporário - FEIRA DE ARTESANATO PROGRAMA MÃOS E MENTES PAULISTANAS - PRAÇA DO</w:t>
      </w:r>
    </w:p>
    <w:p w14:paraId="2DDBBA30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lastRenderedPageBreak/>
        <w:t>PATRIARCA.</w:t>
      </w:r>
    </w:p>
    <w:p w14:paraId="61827EDB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PORTARIA Nº 937/SUB-SÉ/GAB/AC/2024</w:t>
      </w:r>
    </w:p>
    <w:p w14:paraId="664972F8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2ACC850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MÃOS E MENTES PAULISTANAS - PRAÇA DO PATRIARCA, sob responsabilidade da</w:t>
      </w:r>
    </w:p>
    <w:p w14:paraId="031793AB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SECRETARIA MUNICIPAL DE DESENVOLVIMENTO ECONÔMICO E TRABALHO - SMDET - CNPJ. 04.537.740/0001-12, sito à Rua Líbero Badaró, 425, 8º</w:t>
      </w:r>
    </w:p>
    <w:p w14:paraId="3A88B6D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e 12º andares, Centro, São Paulo, SP, Cep 01009-905-000, na seguinte conformidade:</w:t>
      </w:r>
    </w:p>
    <w:p w14:paraId="29DB97B9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68586C78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1.2. Acontecimento Social: FEIRA DE ARTESANATO PROGRAMA MÃOS E MENTES PAULISTANAS - PRAÇA DO PATRIARCA.</w:t>
      </w:r>
    </w:p>
    <w:p w14:paraId="234636C0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1.3. Objetivo: Oportunizar a geração de renda para as artesãs microempreendedoras.</w:t>
      </w:r>
    </w:p>
    <w:p w14:paraId="57AF2097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1.4. Local: Praça do Patriarca, São Paulo/SP.</w:t>
      </w:r>
    </w:p>
    <w:p w14:paraId="74822D9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1.5. Período e horário: De 27 a 31 de janeiro de 2025, das 10h00 às 17h00</w:t>
      </w:r>
    </w:p>
    <w:p w14:paraId="411B4FBF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1.6. Montagem e desmontagem: Dia 27/01/2025, a partir das 08h00 e desmontagem em 31/01/2025, após 18h00.</w:t>
      </w:r>
    </w:p>
    <w:p w14:paraId="4FCF293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1.7. Público Estimado: 200 pessoas.</w:t>
      </w:r>
    </w:p>
    <w:p w14:paraId="596D83E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1.8. Estrutura: 20 barracas 1,50 x 1,50m.</w:t>
      </w:r>
    </w:p>
    <w:p w14:paraId="596A8CC9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2. Deverão ser observadas as seguintes determinações:</w:t>
      </w:r>
    </w:p>
    <w:p w14:paraId="67A7E09F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2E61194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5E140A71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entorno do evento;</w:t>
      </w:r>
    </w:p>
    <w:p w14:paraId="41E173BB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lastRenderedPageBreak/>
        <w:t>2.3. Fica vedada a comercialização de bebidas alcoólicas nos termos da Lei nº 14.450/2007, que institui o programa de combate à venda ilegal de bebida alcoólica e de</w:t>
      </w:r>
    </w:p>
    <w:p w14:paraId="0121AF3E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044C9CFE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0A2F69F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58019FE0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515F3F34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4E089059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399673B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Portaria;</w:t>
      </w:r>
    </w:p>
    <w:p w14:paraId="5BE2BF1F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24CB019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1B081ACE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20F8FF5E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autorizações competentes, observando as restrições e recomendações técnicas por ela apresentadas;</w:t>
      </w:r>
    </w:p>
    <w:p w14:paraId="0B698B46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6B10B2E6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7AAC23C7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lastRenderedPageBreak/>
        <w:t>ordem, sem prejuízo das multas e demais sanções legais cabíveis. No mais, a responsabilidade por danos pessoais ou patrimoniais eventualmente decorrentes do evento cabe</w:t>
      </w:r>
    </w:p>
    <w:p w14:paraId="38E57DCF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5718330F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32E4B0E8" w14:textId="566B9D84" w:rsidR="00BB3F0B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57.548/2016.</w:t>
      </w:r>
      <w:r w:rsidRPr="006352F3">
        <w:rPr>
          <w:rFonts w:ascii="Arial" w:hAnsi="Arial" w:cs="Arial"/>
        </w:rPr>
        <w:cr/>
      </w:r>
    </w:p>
    <w:p w14:paraId="5F328E3D" w14:textId="77777777" w:rsidR="006352F3" w:rsidRPr="006352F3" w:rsidRDefault="006352F3" w:rsidP="006352F3">
      <w:pPr>
        <w:jc w:val="both"/>
        <w:rPr>
          <w:rFonts w:ascii="Arial" w:hAnsi="Arial" w:cs="Arial"/>
          <w:b/>
          <w:bCs/>
          <w:u w:val="single"/>
        </w:rPr>
      </w:pPr>
      <w:r w:rsidRPr="006352F3">
        <w:rPr>
          <w:rFonts w:ascii="Arial" w:hAnsi="Arial" w:cs="Arial"/>
          <w:b/>
          <w:bCs/>
          <w:u w:val="single"/>
        </w:rPr>
        <w:t>Documento: 116286632 | Extrato de Contratação (NP)</w:t>
      </w:r>
    </w:p>
    <w:p w14:paraId="3187B51E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PRINCIPAL</w:t>
      </w:r>
    </w:p>
    <w:p w14:paraId="3E3C1C8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Modalidade</w:t>
      </w:r>
    </w:p>
    <w:p w14:paraId="231E948D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Termo de Fomento</w:t>
      </w:r>
    </w:p>
    <w:p w14:paraId="67359939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Órgão</w:t>
      </w:r>
    </w:p>
    <w:p w14:paraId="0E43FBC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Secretaria Municipal de Desenvolvimento Econômico e Trabalho - SMDET</w:t>
      </w:r>
    </w:p>
    <w:p w14:paraId="611F7DA6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Número de processo interno do órgão/unidade</w:t>
      </w:r>
    </w:p>
    <w:p w14:paraId="10244085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6010.2024/0004169-3</w:t>
      </w:r>
    </w:p>
    <w:p w14:paraId="59CBE16B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Número do Contrato</w:t>
      </w:r>
    </w:p>
    <w:p w14:paraId="7D939B10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045/2024/SMDET</w:t>
      </w:r>
    </w:p>
    <w:p w14:paraId="22B0A2CF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Objeto do Contrato</w:t>
      </w:r>
    </w:p>
    <w:p w14:paraId="6D62AB8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Projeto "Criando Esperança para Capacitação e Empregabilidade", que tem como parâmetro capacitar 40 (quarenta) jovens, com idades entre 14 e 21 anos, residentes, em</w:t>
      </w:r>
    </w:p>
    <w:p w14:paraId="7D5C1D94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sua maioria, em comunidades localizadas em áreas públicas.</w:t>
      </w:r>
    </w:p>
    <w:p w14:paraId="51E7C38E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Nome do Contratante</w:t>
      </w:r>
    </w:p>
    <w:p w14:paraId="4346041D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PMSP/Secretaria Municipal de Desenvolvimento Econômico e Trabalho - SMDET</w:t>
      </w:r>
    </w:p>
    <w:p w14:paraId="7018AB18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Nome do Contratado (entidade parceira)</w:t>
      </w:r>
    </w:p>
    <w:p w14:paraId="7D689A65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 xml:space="preserve">Associação </w:t>
      </w:r>
      <w:proofErr w:type="spellStart"/>
      <w:r w:rsidRPr="006352F3">
        <w:rPr>
          <w:rFonts w:ascii="Arial" w:hAnsi="Arial" w:cs="Arial"/>
        </w:rPr>
        <w:t>Edukaris</w:t>
      </w:r>
      <w:proofErr w:type="spellEnd"/>
    </w:p>
    <w:p w14:paraId="30F81D70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CNPJ do Contratado (entidade parceira)</w:t>
      </w:r>
    </w:p>
    <w:p w14:paraId="398E1832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34.262.809/0001-03</w:t>
      </w:r>
    </w:p>
    <w:p w14:paraId="1B430D15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lastRenderedPageBreak/>
        <w:t>Dotação orçamentária</w:t>
      </w:r>
    </w:p>
    <w:p w14:paraId="7659AD1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30.10.11.333.3019.4.432.3.3.50.39.00.00.1.501.7030.1</w:t>
      </w:r>
    </w:p>
    <w:p w14:paraId="6951B8E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Nota de Empenho</w:t>
      </w:r>
    </w:p>
    <w:p w14:paraId="7F301BD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155707/2024</w:t>
      </w:r>
    </w:p>
    <w:p w14:paraId="73A9B6DD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Natureza da Despesa</w:t>
      </w:r>
    </w:p>
    <w:p w14:paraId="50D92482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Fomento</w:t>
      </w:r>
    </w:p>
    <w:p w14:paraId="355A828B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PRAZO DE VIGÊNCIA DA PARCERIA</w:t>
      </w:r>
    </w:p>
    <w:p w14:paraId="6C4ED6E0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Data de Início</w:t>
      </w:r>
    </w:p>
    <w:p w14:paraId="27963B0C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13/12/2024</w:t>
      </w:r>
    </w:p>
    <w:p w14:paraId="496415F3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Data de Fim</w:t>
      </w:r>
    </w:p>
    <w:p w14:paraId="1FAAD5E9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13/06/2025</w:t>
      </w:r>
    </w:p>
    <w:p w14:paraId="77DCFBD2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PRINCIPAL</w:t>
      </w:r>
    </w:p>
    <w:p w14:paraId="73B59F9F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Fundamento Legal</w:t>
      </w:r>
    </w:p>
    <w:p w14:paraId="19B98C2D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Lei Federal 13.019/2014 e Decreto Municipal 57.575/2016.</w:t>
      </w:r>
    </w:p>
    <w:p w14:paraId="7E436619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Data da Assinatura do Instrumento do Contrato</w:t>
      </w:r>
    </w:p>
    <w:p w14:paraId="7AB0BF6B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13/12/2024</w:t>
      </w:r>
    </w:p>
    <w:p w14:paraId="69AC7344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Anexo I (Número do Documento SEI)</w:t>
      </w:r>
    </w:p>
    <w:p w14:paraId="17CEDA3D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115930689</w:t>
      </w:r>
    </w:p>
    <w:p w14:paraId="7597042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PRAZO DE EXECUÇÃO DA PARCERIA</w:t>
      </w:r>
    </w:p>
    <w:p w14:paraId="3D87AD54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Data de Início</w:t>
      </w:r>
    </w:p>
    <w:p w14:paraId="191142E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13/12/2024</w:t>
      </w:r>
    </w:p>
    <w:p w14:paraId="4640C4DA" w14:textId="77777777" w:rsidR="006352F3" w:rsidRPr="006352F3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Data de Fim</w:t>
      </w:r>
    </w:p>
    <w:p w14:paraId="2D0E1FE2" w14:textId="3DCCC1BA" w:rsidR="00BB3F0B" w:rsidRDefault="006352F3" w:rsidP="006352F3">
      <w:pPr>
        <w:jc w:val="both"/>
        <w:rPr>
          <w:rFonts w:ascii="Arial" w:hAnsi="Arial" w:cs="Arial"/>
        </w:rPr>
      </w:pPr>
      <w:r w:rsidRPr="006352F3">
        <w:rPr>
          <w:rFonts w:ascii="Arial" w:hAnsi="Arial" w:cs="Arial"/>
        </w:rPr>
        <w:t>13/06/2025</w:t>
      </w:r>
    </w:p>
    <w:p w14:paraId="405DC9FD" w14:textId="77777777" w:rsidR="00BB3F0B" w:rsidRDefault="00BB3F0B" w:rsidP="00BB3F0B">
      <w:pPr>
        <w:jc w:val="both"/>
        <w:rPr>
          <w:rFonts w:ascii="Arial" w:hAnsi="Arial" w:cs="Arial"/>
        </w:rPr>
      </w:pPr>
    </w:p>
    <w:p w14:paraId="238A2389" w14:textId="77777777" w:rsidR="006D3580" w:rsidRPr="006D3580" w:rsidRDefault="006D3580" w:rsidP="006D3580">
      <w:pPr>
        <w:jc w:val="both"/>
        <w:rPr>
          <w:rFonts w:ascii="Arial" w:hAnsi="Arial" w:cs="Arial"/>
          <w:b/>
          <w:bCs/>
          <w:u w:val="single"/>
        </w:rPr>
      </w:pPr>
      <w:r w:rsidRPr="006D3580">
        <w:rPr>
          <w:rFonts w:ascii="Arial" w:hAnsi="Arial" w:cs="Arial"/>
          <w:b/>
          <w:bCs/>
          <w:u w:val="single"/>
        </w:rPr>
        <w:t>Documento: 116296898 | Extrato</w:t>
      </w:r>
    </w:p>
    <w:p w14:paraId="058206A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EXTRATO DE EDITAL DE CARTA CONVITE N.º 042/2024</w:t>
      </w:r>
    </w:p>
    <w:p w14:paraId="6845096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PROCESSO SEI N.º 8710.2024/0000620-1</w:t>
      </w:r>
    </w:p>
    <w:p w14:paraId="3B85C59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 Agência São Paulo de Desenvolvimento - ADE SAMPA, por intermédio de seu Diretor Presidente, comunica a abertura da Carta Convite nº 042/2024, destinada à</w:t>
      </w:r>
    </w:p>
    <w:p w14:paraId="15FA65F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aquisição e instalação de painéis de LED, com o objetivo de aumentar a visibilidade nos eventos realizados no HUB DE GAMES, fixar a marca e o conteúdo nas</w:t>
      </w:r>
    </w:p>
    <w:p w14:paraId="42274180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apresentações e eventos realizados pela ADE SAMPA, e oferecer um ambiente com recursos tecnológicos de última geração aos empreendedores do município. Os</w:t>
      </w:r>
    </w:p>
    <w:p w14:paraId="770893E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equipamentos serão utilizados no espaço de eventos localizado na Rua Líbero Badaró, nº 425, Térreo, Centro, São Paulo/SP.</w:t>
      </w:r>
    </w:p>
    <w:p w14:paraId="1F1E0A6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CRITÉRIO DE JULGAMENTO: Menor Preço. DATA E HORÁRIO DA SESSÃO PÚBLICA: 19/12/2024, às 10h30. LOCAL: Rua Líbero Badaró, nº 425, 11º andar, Centro, São Paulo/SP, CEP 01009-905.</w:t>
      </w:r>
    </w:p>
    <w:p w14:paraId="5E8238B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Ficam designados os seguintes colaboradores para compor a Comissão de Licitação responsável pelo presente certame:</w:t>
      </w:r>
    </w:p>
    <w:p w14:paraId="44C74EE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Presidência do Certame: Titular: Cristiane Soria - Coordenadora</w:t>
      </w:r>
    </w:p>
    <w:p w14:paraId="2D2BB0A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Suplente: Elisabete Cristina </w:t>
      </w:r>
      <w:proofErr w:type="spellStart"/>
      <w:r w:rsidRPr="006D3580">
        <w:rPr>
          <w:rFonts w:ascii="Arial" w:hAnsi="Arial" w:cs="Arial"/>
        </w:rPr>
        <w:t>Klososki</w:t>
      </w:r>
      <w:proofErr w:type="spellEnd"/>
      <w:r w:rsidRPr="006D3580">
        <w:rPr>
          <w:rFonts w:ascii="Arial" w:hAnsi="Arial" w:cs="Arial"/>
        </w:rPr>
        <w:t xml:space="preserve"> - Superintendente Administrativo Financeira</w:t>
      </w:r>
    </w:p>
    <w:p w14:paraId="0024558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Equipe de Apoio: Erika Ribeiro de Paula - Assistente Natália Marinho da Silva - Analista Daniel da Costa Medeiros - Assessor</w:t>
      </w:r>
    </w:p>
    <w:p w14:paraId="0CF2D120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Equipe Técnica: Alexsander Lacerda de Macedo - Assistente Carlos Eduardo Aquino de Morais - Assistente</w:t>
      </w:r>
    </w:p>
    <w:p w14:paraId="43CADCF7" w14:textId="5A4D765E" w:rsidR="00BB3F0B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O edital e seus anexos estão disponíveis para consulta no site da ADE SAMPA: www.adesampa.com.br.</w:t>
      </w:r>
      <w:r w:rsidRPr="006D3580">
        <w:rPr>
          <w:rFonts w:ascii="Arial" w:hAnsi="Arial" w:cs="Arial"/>
        </w:rPr>
        <w:cr/>
      </w:r>
    </w:p>
    <w:p w14:paraId="196E31A5" w14:textId="77777777" w:rsidR="006D3580" w:rsidRPr="006D3580" w:rsidRDefault="006D3580" w:rsidP="006D3580">
      <w:pPr>
        <w:jc w:val="both"/>
        <w:rPr>
          <w:rFonts w:ascii="Arial" w:hAnsi="Arial" w:cs="Arial"/>
          <w:b/>
          <w:bCs/>
          <w:u w:val="single"/>
        </w:rPr>
      </w:pPr>
      <w:r w:rsidRPr="006D3580">
        <w:rPr>
          <w:rFonts w:ascii="Arial" w:hAnsi="Arial" w:cs="Arial"/>
          <w:b/>
          <w:bCs/>
          <w:u w:val="single"/>
        </w:rPr>
        <w:t>Documento: 116298458 | Comunicado</w:t>
      </w:r>
    </w:p>
    <w:p w14:paraId="337351B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PARECERES APROVADOS EM REUNIÃO CONJUNTA DAS COMISSÕES DO PROCESSO LEGISLATIVO EM 11/12/2024 NO PLENÁRIO 1º DE MAIO E</w:t>
      </w:r>
    </w:p>
    <w:p w14:paraId="6A12E45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PELO MICROSOFT TEAMS, VIDEOCONFERÊNCIA.</w:t>
      </w:r>
    </w:p>
    <w:p w14:paraId="71CE0DE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PARECER CONJUNTO Nº 1498/2024 DAS COMISSÕES REUNIDAS DE CONSTITUIÇÃO, JUSTIÇA E LEGISLAÇÃO PARTICIPATIVA;</w:t>
      </w:r>
    </w:p>
    <w:p w14:paraId="08F766C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ADMINISTRAÇÃO PÚBLICA; TRÂNSITO, TRANSPORTE E ATIVIDADE ECONÔMICA; SAÚDE, PROMOÇÃO SOCIAL, TRABALHO E MULHER; E</w:t>
      </w:r>
    </w:p>
    <w:p w14:paraId="162DB0E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DE FINANÇAS E ORÇAMENTO SOBRE O PROJETO DE LEI Nº 0835/24.</w:t>
      </w:r>
    </w:p>
    <w:p w14:paraId="71E7C5D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Trata-se de projeto de lei, de iniciativa do Ilustre Sr. Prefeito, que altera a Lei Municipal nº 15.838, de 4 de julho de 2013, que institui o “Serviço Social Autônomo Agência</w:t>
      </w:r>
    </w:p>
    <w:p w14:paraId="639D869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São Paulo de Desenvolvimento - ADE SAMPA”, e dá outras providências.</w:t>
      </w:r>
    </w:p>
    <w:p w14:paraId="2D42608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Segundo a justificativa acostada aos autos, a necessidade de atualização dessa lei se dá em virtude das novas demandas sociais e econômicas que emergem no contexto de</w:t>
      </w:r>
    </w:p>
    <w:p w14:paraId="667EAC1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São Paulo, exigindo uma agência de desenvolvimento com maior flexibilidade, capacidade de inovação e potencial de colaboração com diversas esferas, tanto públicas</w:t>
      </w:r>
    </w:p>
    <w:p w14:paraId="249C779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quanto privadas, nacionais e internacionais.</w:t>
      </w:r>
    </w:p>
    <w:p w14:paraId="21A402F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Consoante a proposta, a ADE SAMPA será mais eficiente e eficaz em seu propósito de promover e fortalecer o empreendedorismo, a geração de emprego e renda, além de</w:t>
      </w:r>
    </w:p>
    <w:p w14:paraId="2C1393C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desenvolver tecnologias que apoiem cadeias produtivas locais e incluam grupos vulneráveis.</w:t>
      </w:r>
    </w:p>
    <w:p w14:paraId="06191A6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Ademais, a justificativa denota que o texto proposto permite à ADE SAMPA celebrar contratos de gestão, convênios e parcerias com diferentes entes, incluindo</w:t>
      </w:r>
    </w:p>
    <w:p w14:paraId="0C16A47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internacionais, o que expande as possibilidades de captação de recursos e o alcance de seus programas e ações. Além disso, </w:t>
      </w:r>
      <w:proofErr w:type="spellStart"/>
      <w:r w:rsidRPr="006D3580">
        <w:rPr>
          <w:rFonts w:ascii="Arial" w:hAnsi="Arial" w:cs="Arial"/>
        </w:rPr>
        <w:t>inclui</w:t>
      </w:r>
      <w:proofErr w:type="spellEnd"/>
      <w:r w:rsidRPr="006D3580">
        <w:rPr>
          <w:rFonts w:ascii="Arial" w:hAnsi="Arial" w:cs="Arial"/>
        </w:rPr>
        <w:t xml:space="preserve"> diretrizes para maior transparência e</w:t>
      </w:r>
    </w:p>
    <w:p w14:paraId="5BB0CBF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controle, como a Comissão de Avaliação de Propostas do Programa VAI TEC, garantindo a participação da sociedade civil e a ampla divulgação dos critérios e resultados</w:t>
      </w:r>
    </w:p>
    <w:p w14:paraId="288D8EE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dos programas, e inclui o tratamento de dados em conformidade com a Lei Geral de Proteção de Dados Pessoais (LGPD). Ainda conforme a justificativa, outras Secretarias municipais têm enxergado na ADE SAMPA a possibilidade de conectar suas políticas públicas diretamente ao ambiente de negócios dos pequenos empreendedores municipais e demandado a celebração de convênios para projetos estratégicos.</w:t>
      </w:r>
    </w:p>
    <w:p w14:paraId="59B1363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Por fim, dispõe que tais alterações são necessárias a fim de se garantir maior autonomia da entidade na promoção do desenvolvimento econômico no município de São</w:t>
      </w:r>
    </w:p>
    <w:p w14:paraId="7E7AFD6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Paulo.</w:t>
      </w:r>
    </w:p>
    <w:p w14:paraId="4F58558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Sob o aspecto jurídico, o projeto reúne condições para prosseguir em tramitação, consoante será demonstrado.</w:t>
      </w:r>
    </w:p>
    <w:p w14:paraId="0AD6C2E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Sob o enfoque jurídico, nada obsta o prosseguimento do presente projeto de lei, vez que a propositura dispõe sobre matéria de evidente interesse local, encontrando</w:t>
      </w:r>
    </w:p>
    <w:p w14:paraId="6BFF4EE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fundamento no art. 30, inciso I da Constituição Federal e no art. 13, inciso I, da Lei Orgânica.</w:t>
      </w:r>
    </w:p>
    <w:p w14:paraId="3C842A2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Por interesse local, segundo </w:t>
      </w:r>
      <w:proofErr w:type="spellStart"/>
      <w:r w:rsidRPr="006D3580">
        <w:rPr>
          <w:rFonts w:ascii="Arial" w:hAnsi="Arial" w:cs="Arial"/>
        </w:rPr>
        <w:t>Dirley</w:t>
      </w:r>
      <w:proofErr w:type="spellEnd"/>
      <w:r w:rsidRPr="006D3580">
        <w:rPr>
          <w:rFonts w:ascii="Arial" w:hAnsi="Arial" w:cs="Arial"/>
        </w:rPr>
        <w:t xml:space="preserve"> da Cunha, entende-se, não aquele interesse exclusivo do Município, mas seu interesse predominante, que o afete de modo mais direto e</w:t>
      </w:r>
    </w:p>
    <w:p w14:paraId="3552C3D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imediato. (</w:t>
      </w:r>
      <w:proofErr w:type="gramStart"/>
      <w:r w:rsidRPr="006D3580">
        <w:rPr>
          <w:rFonts w:ascii="Arial" w:hAnsi="Arial" w:cs="Arial"/>
        </w:rPr>
        <w:t>In, “Curso</w:t>
      </w:r>
      <w:proofErr w:type="gramEnd"/>
      <w:r w:rsidRPr="006D3580">
        <w:rPr>
          <w:rFonts w:ascii="Arial" w:hAnsi="Arial" w:cs="Arial"/>
        </w:rPr>
        <w:t xml:space="preserve"> de Direito Constitucional”, 2ª Ed., Salvador, </w:t>
      </w:r>
      <w:proofErr w:type="spellStart"/>
      <w:r w:rsidRPr="006D3580">
        <w:rPr>
          <w:rFonts w:ascii="Arial" w:hAnsi="Arial" w:cs="Arial"/>
        </w:rPr>
        <w:t>Juspodivm</w:t>
      </w:r>
      <w:proofErr w:type="spellEnd"/>
      <w:r w:rsidRPr="006D3580">
        <w:rPr>
          <w:rFonts w:ascii="Arial" w:hAnsi="Arial" w:cs="Arial"/>
        </w:rPr>
        <w:t>, 2008, p. 841).</w:t>
      </w:r>
    </w:p>
    <w:p w14:paraId="43309BA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 matéria encontra-se, ainda, dentro da esfera de competência do Prefeito, conforme art. 37, § 2º, inciso IV da Lei Orgânica Municipal. Isso porque, são de iniciativa</w:t>
      </w:r>
    </w:p>
    <w:p w14:paraId="3AD00925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privativa do Poder Executivo questões de “organização administrativa e matéria orçamentária”, como é o caso em espeque.</w:t>
      </w:r>
    </w:p>
    <w:p w14:paraId="59FBA21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Com efeito, decidir sobre aspectos específicos da referida entidade (a ADE SAMPA) - como a garantia de uma maior autonomia, a possibilidade de celebração de convênios</w:t>
      </w:r>
    </w:p>
    <w:p w14:paraId="25870BED" w14:textId="77777777" w:rsidR="006D3580" w:rsidRPr="006D3580" w:rsidRDefault="006D3580" w:rsidP="006D3580">
      <w:pPr>
        <w:jc w:val="both"/>
        <w:rPr>
          <w:rFonts w:ascii="Arial" w:hAnsi="Arial" w:cs="Arial"/>
        </w:rPr>
      </w:pPr>
      <w:proofErr w:type="gramStart"/>
      <w:r w:rsidRPr="006D3580">
        <w:rPr>
          <w:rFonts w:ascii="Arial" w:hAnsi="Arial" w:cs="Arial"/>
        </w:rPr>
        <w:t>e etc...</w:t>
      </w:r>
      <w:proofErr w:type="gramEnd"/>
      <w:r w:rsidRPr="006D3580">
        <w:rPr>
          <w:rFonts w:ascii="Arial" w:hAnsi="Arial" w:cs="Arial"/>
        </w:rPr>
        <w:t xml:space="preserve"> - </w:t>
      </w:r>
      <w:proofErr w:type="gramStart"/>
      <w:r w:rsidRPr="006D3580">
        <w:rPr>
          <w:rFonts w:ascii="Arial" w:hAnsi="Arial" w:cs="Arial"/>
        </w:rPr>
        <w:t>não</w:t>
      </w:r>
      <w:proofErr w:type="gramEnd"/>
      <w:r w:rsidRPr="006D3580">
        <w:rPr>
          <w:rFonts w:ascii="Arial" w:hAnsi="Arial" w:cs="Arial"/>
        </w:rPr>
        <w:t xml:space="preserve"> configura norma geral e abstrata, mas sim ato específico e concreto de administração, de governo, atribuição exclusiva do Chefe do Executivo.</w:t>
      </w:r>
    </w:p>
    <w:p w14:paraId="48E1515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Demais disso, ainda sob o aspecto jurídico, a proposta também encontra respaldo no art. 70, XIV da Lei Orgânica do Município de São Paulo, o qual atribui ao Executivo a</w:t>
      </w:r>
    </w:p>
    <w:p w14:paraId="06F9A8E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competência para dispor sobre a estrutura, organização e funcionamento da administração municipal.</w:t>
      </w:r>
    </w:p>
    <w:p w14:paraId="32D1984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Compete ao Prefeito, como administrador-chefe do Município, ao qual cabe o exercício do Poder Executivo (nos termos do art. 56, também da Lei Orgânica Municipal),</w:t>
      </w:r>
    </w:p>
    <w:p w14:paraId="2DCAFCD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decidir sobre a forma de administração e gestão do Município, bem como sua atividade interna.</w:t>
      </w:r>
    </w:p>
    <w:p w14:paraId="5F535870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Como ensina Hely Lopes Meirelles, “a execução das obras e serviços públicos está sujeita, portanto, em toda a sua plenitude, à direção do Prefeito, sem interferência da Câmara, tanto no que se refere às atividades internas das repartições da Prefeitura (serviços burocráticos e técnicos) quanto às atividades externas (obras e serviços</w:t>
      </w:r>
    </w:p>
    <w:p w14:paraId="1B74BCB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públicos) que o Município realiza e põe à disposição da coletividade. Mais do que isso, compete ao Prefeito não somente executar, mas planejar as obras da Municipalidade, idealizar realizações, analisando, ponderando os elementos necessários à sua econômica e eficiente execução, dentro do esquema geral da</w:t>
      </w:r>
    </w:p>
    <w:p w14:paraId="6877C3B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administração”. (In, "Direito Municipal Brasileiro", Ed. Malheiros, 6ª ed., p. 552/553).</w:t>
      </w:r>
    </w:p>
    <w:p w14:paraId="559D2A0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Ante o exposto, sob o aspecto estritamente jurídico, somos PELA LEGALIDADE.</w:t>
      </w:r>
    </w:p>
    <w:p w14:paraId="096194B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Quanto ao mérito, a Comissão de Administração Pública, quantos aos aspectos que deve analisar, reconhecendo a importância de adequar as atividades organizacionais com</w:t>
      </w:r>
    </w:p>
    <w:p w14:paraId="7F92682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os desafios apresentados para o desenvolvimento econômico e social não encontra óbices ao prosseguimento da propositura, sendo, portanto, favorável o parecer.</w:t>
      </w:r>
    </w:p>
    <w:p w14:paraId="2EB3555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 Comissão de Trânsito, Transporte e Atividade Econômica, no âmbito de sua competência, reconhecendo a importância de se ampliar a participação de startups, fomento a</w:t>
      </w:r>
    </w:p>
    <w:p w14:paraId="30DD160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pesquisas e tecnologias verdes e promoção de soluções para uma cidade mais inteligente e conectada, entende que a propositura é meritória e deve prosperar, sendo,</w:t>
      </w:r>
    </w:p>
    <w:p w14:paraId="2CA2482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portanto, favorável o parecer.</w:t>
      </w:r>
    </w:p>
    <w:p w14:paraId="68B702E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 Comissão de Saúde, Promoção Social, Trabalho e Mulher, no âmbito de sua competência, ressalta que o projeto promove inclusão social, sendo deste modo, oportuno e meritório, favorável, portanto, é o parecer.</w:t>
      </w:r>
    </w:p>
    <w:p w14:paraId="4FF7C9C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Quanto ao aspecto financeiro, a Comissão de Finanças e Orçamento nada tem a opor, tendo em vista que a matéria não ofende os dispositivos da lei orçamentária, bem como</w:t>
      </w:r>
    </w:p>
    <w:p w14:paraId="70050AB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está condizente com os referendos legais de conduta fiscal. Favorável, portanto, é o parecer.</w:t>
      </w:r>
    </w:p>
    <w:p w14:paraId="0C7A1C5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Sala das Comissões Reunidas, 11.12.2024.</w:t>
      </w:r>
    </w:p>
    <w:p w14:paraId="439E6FF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CONSTITUIÇÃO, JUSTIÇA E LEGISLAÇÃO PARTICIPATIVA</w:t>
      </w:r>
    </w:p>
    <w:p w14:paraId="3039B38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ALESSANDRO GUEDES (PT)</w:t>
      </w:r>
    </w:p>
    <w:p w14:paraId="30A89A8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DR. MILTON FERREIRA (PODE)</w:t>
      </w:r>
    </w:p>
    <w:p w14:paraId="4F3E1DF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MARCELO MESSIAS (MDB)</w:t>
      </w:r>
    </w:p>
    <w:p w14:paraId="1D115C0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RICARDO TEIXEIRA (UNIÃO)</w:t>
      </w:r>
    </w:p>
    <w:p w14:paraId="3E04990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SANSÃO PEREIRA (REPUBLICANOS)</w:t>
      </w:r>
    </w:p>
    <w:p w14:paraId="516FF15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XEXÉU TRIPOLI (UNIÃO)</w:t>
      </w:r>
    </w:p>
    <w:p w14:paraId="4E89A4B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ADMINISTRAÇÃO PÚBLICA</w:t>
      </w:r>
    </w:p>
    <w:p w14:paraId="1180D6B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ELI CORRÊA (UNIÃO)</w:t>
      </w:r>
    </w:p>
    <w:p w14:paraId="16BA53A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Ver. ELY TERUEL (MDB)</w:t>
      </w:r>
    </w:p>
    <w:p w14:paraId="0528A68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GILSON BARRETO (MDB)</w:t>
      </w:r>
    </w:p>
    <w:p w14:paraId="0388857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JANAÍNA LIMA (PP)</w:t>
      </w:r>
    </w:p>
    <w:p w14:paraId="277527E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JOÃO ANANIAS (PT)</w:t>
      </w:r>
    </w:p>
    <w:p w14:paraId="5489BF6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JUSSARA BASSO (PSB)</w:t>
      </w:r>
    </w:p>
    <w:p w14:paraId="4380F2D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SONAIRA FERNANDES (PL)</w:t>
      </w:r>
    </w:p>
    <w:p w14:paraId="44F0F7D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TRÂNSITO, TRANSPORTE, ATIVIDADE ECONÔMICA</w:t>
      </w:r>
    </w:p>
    <w:p w14:paraId="6B602BB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CARLOS BEZERRA JR. (PSD)</w:t>
      </w:r>
    </w:p>
    <w:p w14:paraId="637947E5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DR. NUNES PEIXEIRO (MDB)</w:t>
      </w:r>
    </w:p>
    <w:p w14:paraId="3EC7FC5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DRA. SANDRA TADEU (PL)</w:t>
      </w:r>
    </w:p>
    <w:p w14:paraId="1927D7B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LUANA ALVES (PSOL)</w:t>
      </w:r>
    </w:p>
    <w:p w14:paraId="288B5FF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SENIVAL MOURA (PT)</w:t>
      </w:r>
    </w:p>
    <w:p w14:paraId="05ED9AC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SAÚDE, PROMOÇÂO SOCIAL, TRABALHO, MULHER</w:t>
      </w:r>
    </w:p>
    <w:p w14:paraId="07580E3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ANDRÉ SANTOS (REPUBLICANOS)</w:t>
      </w:r>
    </w:p>
    <w:p w14:paraId="58268E8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AURÉLIO NOMURA (PSD)</w:t>
      </w:r>
    </w:p>
    <w:p w14:paraId="5A379C00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GEORGE HATO (MDB)</w:t>
      </w:r>
    </w:p>
    <w:p w14:paraId="2268919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GILBERTO NASCIMENTO (PL)</w:t>
      </w:r>
    </w:p>
    <w:p w14:paraId="20A6A67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HÉLIO RODRIGUES (PT)</w:t>
      </w:r>
    </w:p>
    <w:p w14:paraId="344D4E8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MANOEL DEL RIO (PT)</w:t>
      </w:r>
    </w:p>
    <w:p w14:paraId="14CA00A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FINANÇAS E ORÇAMENTO</w:t>
      </w:r>
    </w:p>
    <w:p w14:paraId="2487292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ATÍLIO FRANCISCO (REPUBLICANOS)</w:t>
      </w:r>
    </w:p>
    <w:p w14:paraId="7042C95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DR. ADRIANO SANTOS (PT)</w:t>
      </w:r>
    </w:p>
    <w:p w14:paraId="4D33A27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ISAC FÉLIX (PL)</w:t>
      </w:r>
    </w:p>
    <w:p w14:paraId="50ED8E1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JAIR TATTO (PT)</w:t>
      </w:r>
    </w:p>
    <w:p w14:paraId="447206A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PAULO FRANGE (MDB)</w:t>
      </w:r>
    </w:p>
    <w:p w14:paraId="6575911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RINALDI DIGILIO (UNIÃO)</w:t>
      </w:r>
    </w:p>
    <w:p w14:paraId="6A4B7B6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RUTE COSTA (PL)</w:t>
      </w:r>
    </w:p>
    <w:p w14:paraId="6CC97DF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SIDNEY CRUZ (MDB)</w:t>
      </w:r>
    </w:p>
    <w:p w14:paraId="08F2A0B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PARECER CONJUNTO Nº 1499/2024 DAS COMISSÕES REUNIDAS DE COMISSÃO DE CONSTITUIÇÃO, JUSTIÇA E LEGISLAÇÃO PARTICIPATIVA;</w:t>
      </w:r>
    </w:p>
    <w:p w14:paraId="5F0C254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POLÍTICA URBANA, METROPOLITANA E MEIO AMBIENTE E DE FINANÇAS E ORÇAMENTO SOBRE O PROJETO DE LEI Nº 836/2024.</w:t>
      </w:r>
    </w:p>
    <w:p w14:paraId="6FFF19B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Trata-se de projeto de lei, de iniciativa do Excelentíssimo Senhor Prefeito, que altera a Lei nº 15.997, de 27 de maio de 2014, que estabelece a política municipal de</w:t>
      </w:r>
    </w:p>
    <w:p w14:paraId="288A642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incentivo ao uso de carros elétricos ou movidos a hidrogênio, para restringir o benefício, a partir de 1º de janeiro de 2025, apenas aos veículos exclusivamente elétricos.</w:t>
      </w:r>
    </w:p>
    <w:p w14:paraId="60315B4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Segundo o Ofício de encaminhamento da proposta, a medida pretendida se justifica pela necessidade de fomentar a transição para uma matriz de transporte mais sustentável,</w:t>
      </w:r>
    </w:p>
    <w:p w14:paraId="6087793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reduzindo as emissões de gases poluentes e contribuindo para a melhoria da qualidade do ar na cidade de São Paulo.</w:t>
      </w:r>
    </w:p>
    <w:p w14:paraId="48427605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Os veículos totalmente elétricos representam uma tecnologia limpa e eficiente, alinhada com as metas ambientais e climáticas do município. Salienta ainda que ao restringir</w:t>
      </w:r>
    </w:p>
    <w:p w14:paraId="38B6706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o benefício aos veículos exclusivamente elétricos, busca-se incentivar a adoção dessa tecnologia, estimulando a indústria automobilística e os consumidores a investirem em</w:t>
      </w:r>
    </w:p>
    <w:p w14:paraId="4A02663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alternativas mais sustentáveis.</w:t>
      </w:r>
    </w:p>
    <w:p w14:paraId="5919686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 prorrogação do prazo de vigência do incentivo até 2028, por sua vez, permite um período adequado para a adaptação do mercado e dos cidadãos a essa mudança. Sob o</w:t>
      </w:r>
    </w:p>
    <w:p w14:paraId="3EC66E3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ponto de vista estritamente jurídico, o projeto reúne condições para prosseguir em tramitação.</w:t>
      </w:r>
    </w:p>
    <w:p w14:paraId="5D7EFC0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Sob o aspecto formal, o Município possui competência legislativa em matéria tributária, com respaldo no artigo 30, III, da Constituição Federal, que enuncia caber ao Município instituir e arrecadar os tributos de sua competência.</w:t>
      </w:r>
    </w:p>
    <w:p w14:paraId="6B98C19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Saliente-se que não existe óbice relativo à iniciativa legislativa, sendo que tanto o Executivo quanto o Legislativo podem dar o impulso inicial ao processo legislativo em</w:t>
      </w:r>
    </w:p>
    <w:p w14:paraId="5E4868A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matéria tributária e assim o é porque a Constituição Federal, fonte primeira das normas sobre processo legislativo, contemplando inclusive normas de repetição obrigatória,</w:t>
      </w:r>
    </w:p>
    <w:p w14:paraId="1AE450A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não contém qualquer restrição à iniciativa legislativa, no que se refere ao Município, mas apenas no que se refere aos Territórios Federais, nos termos do artigo 61, §1º, II, b,</w:t>
      </w:r>
    </w:p>
    <w:p w14:paraId="43F6B2B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da Constituição Federal.</w:t>
      </w:r>
    </w:p>
    <w:p w14:paraId="6A32079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 propositura cuida da extrafiscalidade, figura que se utiliza de um instrumento tributário com outras finalidades, que vão além da simples arrecadação. Geraldo Ataliba</w:t>
      </w:r>
    </w:p>
    <w:p w14:paraId="1C5A1D2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afirma que a extrafiscalidade seria uma “repercussão da afirmação do princípio da rigidez do sistema constitucional tributário, consistente no uso do tributo com objetivo</w:t>
      </w:r>
    </w:p>
    <w:p w14:paraId="481D06D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ordinatório, diverso do fiscal. Seria o uso deliberado do tributo para finalidades regulatórias de comportamentos sociais, matéria econômica, social e política</w:t>
      </w:r>
      <w:proofErr w:type="gramStart"/>
      <w:r w:rsidRPr="006D3580">
        <w:rPr>
          <w:rFonts w:ascii="Arial" w:hAnsi="Arial" w:cs="Arial"/>
        </w:rPr>
        <w:t>. ”</w:t>
      </w:r>
      <w:proofErr w:type="gramEnd"/>
      <w:r w:rsidRPr="006D3580">
        <w:rPr>
          <w:rFonts w:ascii="Arial" w:hAnsi="Arial" w:cs="Arial"/>
        </w:rPr>
        <w:t xml:space="preserve"> (ATALIBA, Geraldo. Sistema constitucional tributário brasileiro, p. 150.)</w:t>
      </w:r>
    </w:p>
    <w:p w14:paraId="1C9CE76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No presente caso, a extrafiscalidade relaciona-se com o aspecto material da pretensão, uma vez que a iniciativa em análise tem como escopo fomentar política pública</w:t>
      </w:r>
    </w:p>
    <w:p w14:paraId="4A66778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atinente à maior sustentabilidade ambiental. Com efeito, o projeto tem por escopo a preservação do meio ambiente, matéria cuja competência é comum a todos os entes</w:t>
      </w:r>
    </w:p>
    <w:p w14:paraId="5804E58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federados, nos termos do art. 23, inc. VI, da Constituição Federal.</w:t>
      </w:r>
    </w:p>
    <w:p w14:paraId="4EE5C08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Nesse sentido, a manutenção de um meio ambiente saudável e equilibrado, além de ser assunto de interesse de todos por ser imprescindível à sobrevivência humana e à sadia</w:t>
      </w:r>
    </w:p>
    <w:p w14:paraId="5F1726F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qualidade de vida, foi alçada à categoria de princípio constitucional impositivo, quando a Constituição determinou ao Poder Público, em todas as suas esferas, Federal, Estadual e Municipal (</w:t>
      </w:r>
      <w:proofErr w:type="spellStart"/>
      <w:r w:rsidRPr="006D3580">
        <w:rPr>
          <w:rFonts w:ascii="Arial" w:hAnsi="Arial" w:cs="Arial"/>
        </w:rPr>
        <w:t>arts</w:t>
      </w:r>
      <w:proofErr w:type="spellEnd"/>
      <w:r w:rsidRPr="006D3580">
        <w:rPr>
          <w:rFonts w:ascii="Arial" w:hAnsi="Arial" w:cs="Arial"/>
        </w:rPr>
        <w:t>. 225 e 23, inc. I, CF), o poder-dever de defendê-lo e preservá-lo para as presentes e futuras gerações (Superior Tribunal de Justiça, REsp nº</w:t>
      </w:r>
    </w:p>
    <w:p w14:paraId="163EFFF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194.617/PR, Relator Min. Franciulli Neto, DJ 01.07.2002).</w:t>
      </w:r>
    </w:p>
    <w:p w14:paraId="09ED801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Tratando o projeto sobre matéria tributária, exige-se o quórum de maioria absoluta dos membros da Casa para a sua aprovação </w:t>
      </w:r>
      <w:proofErr w:type="gramStart"/>
      <w:r w:rsidRPr="006D3580">
        <w:rPr>
          <w:rFonts w:ascii="Arial" w:hAnsi="Arial" w:cs="Arial"/>
        </w:rPr>
        <w:t>e também</w:t>
      </w:r>
      <w:proofErr w:type="gramEnd"/>
      <w:r w:rsidRPr="006D3580">
        <w:rPr>
          <w:rFonts w:ascii="Arial" w:hAnsi="Arial" w:cs="Arial"/>
        </w:rPr>
        <w:t xml:space="preserve"> a convocação de, pelo menos, duas</w:t>
      </w:r>
    </w:p>
    <w:p w14:paraId="7757CD6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audiências públicas durante a sua tramitação pela Câmara, nos termos dos </w:t>
      </w:r>
      <w:proofErr w:type="spellStart"/>
      <w:r w:rsidRPr="006D3580">
        <w:rPr>
          <w:rFonts w:ascii="Arial" w:hAnsi="Arial" w:cs="Arial"/>
        </w:rPr>
        <w:t>arts</w:t>
      </w:r>
      <w:proofErr w:type="spellEnd"/>
      <w:r w:rsidRPr="006D3580">
        <w:rPr>
          <w:rFonts w:ascii="Arial" w:hAnsi="Arial" w:cs="Arial"/>
        </w:rPr>
        <w:t>. 40, § 3º, I, e 41, V e VIII, ambos da Lei Orgânica do Município. Pelo exposto, somos pela LEGALIDADE</w:t>
      </w:r>
    </w:p>
    <w:p w14:paraId="7E6F69C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Quanto ao mérito a Comissão de Política Urbana, Metropolitana e Meio Ambiente, considerando os impactos positivos da medida sugerida, no que se refere ao estímulo</w:t>
      </w:r>
    </w:p>
    <w:p w14:paraId="1339688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ao uso de tecnologias limpas que proporcionam a redução de emissões de poluentes e de gases de efeito estufa e contribuem para a mitigação dos </w:t>
      </w:r>
      <w:r w:rsidRPr="006D3580">
        <w:rPr>
          <w:rFonts w:ascii="Arial" w:hAnsi="Arial" w:cs="Arial"/>
        </w:rPr>
        <w:lastRenderedPageBreak/>
        <w:t>impactos ambientais no município, manifesta-se favoravelmente ao projeto de lei.</w:t>
      </w:r>
    </w:p>
    <w:p w14:paraId="1C6C0BA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Quanto ao aspecto financeiro, a Comissão de Finanças e Orçamento nada tem a opor, uma vez que as despesas decorrentes da execução da lei correrão por conta de</w:t>
      </w:r>
    </w:p>
    <w:p w14:paraId="78074B1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dotações orçamentárias próprias, suplementadas, se necessário, posicionando-se com parecer favorável à proposição.</w:t>
      </w:r>
    </w:p>
    <w:p w14:paraId="4AD7F01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Sala das Comissões Reunidas, em 11.12.2024.</w:t>
      </w:r>
    </w:p>
    <w:p w14:paraId="59229A9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CONSTITUIÇÃO, JUSTIÇA E LEGISLAÇÃO PARTICIPATIVA</w:t>
      </w:r>
    </w:p>
    <w:p w14:paraId="1F926755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ALESSANDRO GUEDES (PT)</w:t>
      </w:r>
    </w:p>
    <w:p w14:paraId="4E92E9B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DR. MILTON FERREIRA (PODE)</w:t>
      </w:r>
    </w:p>
    <w:p w14:paraId="751DEAE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MARCELO MESSIAS (MDB)</w:t>
      </w:r>
    </w:p>
    <w:p w14:paraId="17C96155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RICARDO TEIXEIRA (UNIÃO)</w:t>
      </w:r>
    </w:p>
    <w:p w14:paraId="23A7C36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SANSÃO PEREIRA (REPUBLICANOS)</w:t>
      </w:r>
    </w:p>
    <w:p w14:paraId="75FF67B5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XEXÉU TRIPOLI (UNIÃO)</w:t>
      </w:r>
    </w:p>
    <w:p w14:paraId="623A742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POLÍTICA URBANA, METROPOLITANA, MEIO AMBIENTE</w:t>
      </w:r>
    </w:p>
    <w:p w14:paraId="7787D210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ARSELINO TATTO (PT)</w:t>
      </w:r>
    </w:p>
    <w:p w14:paraId="3092A95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DANILO DO POSTO DE SAÚDE (PODE)</w:t>
      </w:r>
    </w:p>
    <w:p w14:paraId="057786C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FABIO RIVA (MDB)</w:t>
      </w:r>
    </w:p>
    <w:p w14:paraId="557AA37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MARLON LUZ (MDB)</w:t>
      </w:r>
    </w:p>
    <w:p w14:paraId="5CDEBD6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RODRIGO GOULART (PSD)</w:t>
      </w:r>
    </w:p>
    <w:p w14:paraId="68155E8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RUBINHO NUNES (UNIÃO)</w:t>
      </w:r>
    </w:p>
    <w:p w14:paraId="16D844C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FINANÇAS E ORÇAMENTO</w:t>
      </w:r>
    </w:p>
    <w:p w14:paraId="01D330B5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ATÍLIO FRANCISCO (REPUBLICANOS)</w:t>
      </w:r>
    </w:p>
    <w:p w14:paraId="1E003BE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DR. ADRIANO SANTOS (PT)</w:t>
      </w:r>
    </w:p>
    <w:p w14:paraId="0A064CC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ISAC FÉLIX (PL)</w:t>
      </w:r>
    </w:p>
    <w:p w14:paraId="2EBC72E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JAIR TATTO (PT)</w:t>
      </w:r>
    </w:p>
    <w:p w14:paraId="0E91682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PAULO FRANGE (MDB)</w:t>
      </w:r>
    </w:p>
    <w:p w14:paraId="7B56792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RINALDI DIGILIO (UNIÃO)</w:t>
      </w:r>
    </w:p>
    <w:p w14:paraId="3F72180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RUTE COSTA (PL)</w:t>
      </w:r>
    </w:p>
    <w:p w14:paraId="1711403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SIDNEY CRUZ (MDB)</w:t>
      </w:r>
    </w:p>
    <w:p w14:paraId="0BD9CFEF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PARECER CONJUNTO Nº 1500/2024 DAS COMISSÕES REUNIDAS DE CONSTITUIÇÃO, JUSTIÇA E LEGISLAÇÃO PARTICIPATIVA; POLÍTICA</w:t>
      </w:r>
    </w:p>
    <w:p w14:paraId="3E0AB5A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URBANA, METROPOLITANA E MEIO AMBIENTE; DE ADMINISTRAÇÃO PÚBLICA; E DE FINANÇAS E ORÇAMENTO SOBRE O PROJETO DE LEI</w:t>
      </w:r>
    </w:p>
    <w:p w14:paraId="3BE7997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Nº 837/2024.</w:t>
      </w:r>
    </w:p>
    <w:p w14:paraId="3EF837B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Trata-se de projeto de lei, de autoria do Excelentíssimo Senhor Prefeito, que visa alterar a Lei nº 17.254, de 26 de dezembro de 2019, a qual autoriza o Poder Executivo a</w:t>
      </w:r>
    </w:p>
    <w:p w14:paraId="537F13A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contratar operações de crédito para financiar a execução de projetos de investimento no Município de São Paulo.</w:t>
      </w:r>
    </w:p>
    <w:p w14:paraId="4D216D7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De acordo com a propositura, fica o Poder Executivo autorizado a contratar, até 31 de dezembro de 2030, operações de crédito com instituições financeiras, organismos e</w:t>
      </w:r>
    </w:p>
    <w:p w14:paraId="1670735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entidades de crédito nacionais e internacionais, públicas e privadas, no valor de até R$ 2.500.000.000,00 (dois bilhões e quinhentos milhões de reais) para operações de</w:t>
      </w:r>
    </w:p>
    <w:p w14:paraId="7305FB5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crédito interno, destinados ao financiamento nas seguintes áreas de atuação: a) intervenções na área habitacional; b) intervenções na área de mobilidade urbana, objetivando</w:t>
      </w:r>
    </w:p>
    <w:p w14:paraId="47891D6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promover melhorias nas condições de funcionamento de corredores e vias urbanas; c) intervenções na área de inovação e tecnologia, visando à implantação de projetos que</w:t>
      </w:r>
    </w:p>
    <w:p w14:paraId="723A447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promovam melhoria e inovação na organização e serviços prestados pela Administração Pública; d) intervenções na área de drenagem, visando à regularização da vazão de</w:t>
      </w:r>
    </w:p>
    <w:p w14:paraId="4060BA8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águas drenadas e eliminação de enchentes; e) intervenções que busquem a adaptação da cidade aos efeitos das mudanças climáticas; f) intervenções na área ambiental,</w:t>
      </w:r>
    </w:p>
    <w:p w14:paraId="59E1BE3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inclusive desapropriações, com vistas ao desenvolvimento de políticas públicas que promovam a sustentabilidade do Município de São Paulo; g) ações que busquem limitar</w:t>
      </w:r>
    </w:p>
    <w:p w14:paraId="444B1BA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futuros aumentos de temperatura, em linha com os objetivos assumidos pelo Brasil no âmbito do Acordo de Paris.</w:t>
      </w:r>
    </w:p>
    <w:p w14:paraId="107076B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O projeto pode prosseguir em tramitação, visto que está amparado nos artigos 13, V e 69, X da Lei Orgânica do Município, </w:t>
      </w:r>
      <w:proofErr w:type="spellStart"/>
      <w:r w:rsidRPr="006D3580">
        <w:rPr>
          <w:rFonts w:ascii="Arial" w:hAnsi="Arial" w:cs="Arial"/>
        </w:rPr>
        <w:t>verbis</w:t>
      </w:r>
      <w:proofErr w:type="spellEnd"/>
      <w:r w:rsidRPr="006D3580">
        <w:rPr>
          <w:rFonts w:ascii="Arial" w:hAnsi="Arial" w:cs="Arial"/>
        </w:rPr>
        <w:t>:</w:t>
      </w:r>
    </w:p>
    <w:p w14:paraId="458701E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 xml:space="preserve">“Art. 13 - Cabe à Câmara, com sanção do Prefeito, não exigida </w:t>
      </w:r>
      <w:proofErr w:type="spellStart"/>
      <w:r w:rsidRPr="006D3580">
        <w:rPr>
          <w:rFonts w:ascii="Arial" w:hAnsi="Arial" w:cs="Arial"/>
        </w:rPr>
        <w:t>esta</w:t>
      </w:r>
      <w:proofErr w:type="spellEnd"/>
      <w:r w:rsidRPr="006D3580">
        <w:rPr>
          <w:rFonts w:ascii="Arial" w:hAnsi="Arial" w:cs="Arial"/>
        </w:rPr>
        <w:t xml:space="preserve"> para o especificado no artigo 14, dispor sobre as matérias de competência do Município, especialmente:</w:t>
      </w:r>
    </w:p>
    <w:p w14:paraId="6761CAD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(...) V - deliberar sobre a obtenção e concessão de empréstimos e operações de crédito, bem como sobre a forma e os meios de pagamento;</w:t>
      </w:r>
    </w:p>
    <w:p w14:paraId="2DAEBF7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(...) Art. 69 - Compete privativamente ao Prefeito, além de outras atribuições previstas nesta Lei:</w:t>
      </w:r>
    </w:p>
    <w:p w14:paraId="23F3342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(...) X - propor à Câmara Municipal projetos de lei relativos ao plano plurianual, diretrizes orçamentárias, orçamento anual, dívida pública e operações de crédito;”</w:t>
      </w:r>
    </w:p>
    <w:p w14:paraId="4423CD4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O art. 11, § 2º da Lei nº 4.320/1964, que dispõe sobre Normas Gerais de Direito Financeiro para elaboração e controle dos orçamentos e balanços da União, dos Estados, dos Municípios e do Distrito Federal, descreve que as operações de crédito (constituição de dívidas) constituem receita de capital, conforme abaixo descrito:</w:t>
      </w:r>
    </w:p>
    <w:p w14:paraId="2C86D6D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“Art. 11 A receita classificar-se-á nas seguintes categorias econômicas: Receitas Correntes e Receitas de Capital. (...) § 2º - São Receitas de Capital as provenientes da</w:t>
      </w:r>
    </w:p>
    <w:p w14:paraId="4BEDAD5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realização de recursos financeiros oriundos de constituição de dívidas; da conversão, em espécie, de bens e direitos; os recursos recebidos de outras pessoas de direito</w:t>
      </w:r>
    </w:p>
    <w:p w14:paraId="78206A6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público ou privado, destinados a atender despesas classificáveis em Despesas de Capital e, ainda, o superávit do Orçamento Corrente”.</w:t>
      </w:r>
    </w:p>
    <w:p w14:paraId="0E9FC6C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Para a obtenção de recursos financeiros oriundos de constituição de dívidas, deve-se observar os limites impostos pela legislação de regência, definidos pela Constituição</w:t>
      </w:r>
    </w:p>
    <w:p w14:paraId="229A228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Federal de 1988, pela Lei de Responsabilidade Fiscal e pelas Resoluções n.º 40 e 43 do Senado Federal. Vejamos o que diz o Art. 32 da Lei Complementar nº 101/2000:</w:t>
      </w:r>
    </w:p>
    <w:p w14:paraId="0E2A70A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“Art. 32. O Ministério da Fazenda verificará o cumprimento dos limites e condições relativos à realização de operações de crédito de cada ente da Federação, inclusive das</w:t>
      </w:r>
    </w:p>
    <w:p w14:paraId="0D307C9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empresas por eles controladas, direta ou indiretamente. § 1o O ente interessado formalizará seu pleito fundamentando-o em parecer de seus órgãos técnicos e jurídicos,</w:t>
      </w:r>
    </w:p>
    <w:p w14:paraId="1827FF4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demonstrando a relação </w:t>
      </w:r>
      <w:proofErr w:type="gramStart"/>
      <w:r w:rsidRPr="006D3580">
        <w:rPr>
          <w:rFonts w:ascii="Arial" w:hAnsi="Arial" w:cs="Arial"/>
        </w:rPr>
        <w:t>custo benefício</w:t>
      </w:r>
      <w:proofErr w:type="gramEnd"/>
      <w:r w:rsidRPr="006D3580">
        <w:rPr>
          <w:rFonts w:ascii="Arial" w:hAnsi="Arial" w:cs="Arial"/>
        </w:rPr>
        <w:t>, o interesse econômico e social da operação e o atendimento das seguintes condições:</w:t>
      </w:r>
    </w:p>
    <w:p w14:paraId="5179F60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 xml:space="preserve">I - </w:t>
      </w:r>
      <w:proofErr w:type="gramStart"/>
      <w:r w:rsidRPr="006D3580">
        <w:rPr>
          <w:rFonts w:ascii="Arial" w:hAnsi="Arial" w:cs="Arial"/>
        </w:rPr>
        <w:t>existência</w:t>
      </w:r>
      <w:proofErr w:type="gramEnd"/>
      <w:r w:rsidRPr="006D3580">
        <w:rPr>
          <w:rFonts w:ascii="Arial" w:hAnsi="Arial" w:cs="Arial"/>
        </w:rPr>
        <w:t xml:space="preserve"> de prévia e expressa autorização para a contratação, no texto da lei orçamentária, em créditos adicionais ou lei específica;</w:t>
      </w:r>
    </w:p>
    <w:p w14:paraId="4EE0483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II - </w:t>
      </w:r>
      <w:proofErr w:type="gramStart"/>
      <w:r w:rsidRPr="006D3580">
        <w:rPr>
          <w:rFonts w:ascii="Arial" w:hAnsi="Arial" w:cs="Arial"/>
        </w:rPr>
        <w:t>inclusão</w:t>
      </w:r>
      <w:proofErr w:type="gramEnd"/>
      <w:r w:rsidRPr="006D3580">
        <w:rPr>
          <w:rFonts w:ascii="Arial" w:hAnsi="Arial" w:cs="Arial"/>
        </w:rPr>
        <w:t xml:space="preserve"> no orçamento ou em créditos adicionais dos recursos provenientes da operação, exceto no caso de operações por antecipação de receita; (...)”</w:t>
      </w:r>
    </w:p>
    <w:p w14:paraId="0D3ECEA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O mesmo art. 32 salienta que devem ser seguidas as condições impostas pelo Senado Federal, contudo a análise da observância deste dispositivo cabe à D. Comissão de</w:t>
      </w:r>
    </w:p>
    <w:p w14:paraId="3D8BB03E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Finanças e Orçamento. No caso da operação de crédito externa, há ainda a exigência do art. 52, V da Constituição, in </w:t>
      </w:r>
      <w:proofErr w:type="spellStart"/>
      <w:r w:rsidRPr="006D3580">
        <w:rPr>
          <w:rFonts w:ascii="Arial" w:hAnsi="Arial" w:cs="Arial"/>
        </w:rPr>
        <w:t>verbis</w:t>
      </w:r>
      <w:proofErr w:type="spellEnd"/>
      <w:r w:rsidRPr="006D3580">
        <w:rPr>
          <w:rFonts w:ascii="Arial" w:hAnsi="Arial" w:cs="Arial"/>
        </w:rPr>
        <w:t>:</w:t>
      </w:r>
    </w:p>
    <w:p w14:paraId="32F51BD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“Art. 52. Compete privativamente ao Senado Federal: [...] V - autorizar operações externas de natureza financeira, de interesse da União, dos Estados, do Distrito Federal,</w:t>
      </w:r>
    </w:p>
    <w:p w14:paraId="003A788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dos Territórios e dos Municípios;”</w:t>
      </w:r>
    </w:p>
    <w:p w14:paraId="5E2E8FF5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O Senado Federal visando regulamentar os procedimentos para autorização de operação externa de natureza financeira editou a Resolução nº 43 do Senado Federal, de 21 de</w:t>
      </w:r>
    </w:p>
    <w:p w14:paraId="3B559DB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dezembro de 2001, que dispõe sobre as operações de crédito interno e externo dos Estados, Distrito Federal e dos Municípios, inclusive concessão de garantias, seus limites</w:t>
      </w:r>
    </w:p>
    <w:p w14:paraId="5E8F88E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e condições de autorização.</w:t>
      </w:r>
    </w:p>
    <w:p w14:paraId="438424E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Referida Resolução estabelece no inc. II, do art. 21, que os Estados, Distrito Federal e os Municípios encaminharão ao Ministério da Fazenda os pedidos de verificação de</w:t>
      </w:r>
    </w:p>
    <w:p w14:paraId="3F890FC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limites e condições para a realização das operações de crédito, com a proposta do financiamento ou empréstimo, instruído com autorização legislativa para a realização da</w:t>
      </w:r>
    </w:p>
    <w:p w14:paraId="082F3F4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operação, portanto, para efetuar o pedido de autorização ao Senado Federal deve ser anexada autorização do órgão legislativo competente.</w:t>
      </w:r>
    </w:p>
    <w:p w14:paraId="179B558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Ressalte-se, novamente, que incumbe à Comissão de Finanças e Orçamento, a análise acerca da compatibilidade da propositura com a Lei Complementar Federal nº 101/00</w:t>
      </w:r>
    </w:p>
    <w:p w14:paraId="3D2D8BA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- Lei de Responsabilidade Fiscal e demais legislações específicas pertinentes, especialmente quanto à obediência dos limites globais e condições para as operações de</w:t>
      </w:r>
    </w:p>
    <w:p w14:paraId="1753CE4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crédito, cuja fixação é de competência privativa do Senado Federal, nos termos do art. 52, inciso VII, da Constituição Federal.</w:t>
      </w:r>
    </w:p>
    <w:p w14:paraId="051C50C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Durante a tramitação do projeto deverão ser realizadas duas audiências públicas em atenção ao disposto no art. 41, III e IV, da Lei Orgânica do Município.</w:t>
      </w:r>
    </w:p>
    <w:p w14:paraId="2A52DE5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Para ser aprovado o projeto depende de voto favorável da maioria absoluta dos membros desta Casa, nos termos do art. 40, § 3º, VIII, do mesmo diploma legal.</w:t>
      </w:r>
    </w:p>
    <w:p w14:paraId="4828B4D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Pelo exposto, somos pela LEGALIDADE.</w:t>
      </w:r>
    </w:p>
    <w:p w14:paraId="5CAE013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Quanto ao mérito a Comissão de Política Urbana, Metropolitana e Meio Ambiente avaliou que os investimentos nas áreas de mobilidade, drenagem e ações ambientais são</w:t>
      </w:r>
    </w:p>
    <w:p w14:paraId="1A71201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essenciais para o desenvolvimento sustentável da cidade. As intervenções planejadas, como a redução de enchentes e a melhoria das condições viárias, foram consideradas</w:t>
      </w:r>
    </w:p>
    <w:p w14:paraId="00E8603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alinhadas às diretrizes de planejamento urbano, motivo pelo qual a comissão manifestou-se favoravelmente ao projeto de lei.</w:t>
      </w:r>
    </w:p>
    <w:p w14:paraId="6DC07D6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 Comissão de Administração Pública considerou que a contratação de crédito, vinculada a projetos específicos de alto impacto, reforça a eficiência na gestão pública. Destacou ainda que a autorização para operações financeiras com organismos nacionais e internacionais amplia as possibilidades de captação de recursos, permitindo ações</w:t>
      </w:r>
    </w:p>
    <w:p w14:paraId="0C983E6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planejadas e estratégicas. Dessa forma, manifestou-se favoravelmente ao projeto.</w:t>
      </w:r>
    </w:p>
    <w:p w14:paraId="479DB96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 Comissão de Finanças e Orçamento analisou a viabilidade fiscal da proposta, destacando que a operação de crédito atende aos parâmetros da responsabilidade fiscal e</w:t>
      </w:r>
    </w:p>
    <w:p w14:paraId="08DF4831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será respaldada por contragarantias sólidas, como as receitas do Tesouro Nacional e, subsidiariamente, o Fundo de Participação dos Municípios. A comissão concluiu que a</w:t>
      </w:r>
    </w:p>
    <w:p w14:paraId="78E13F1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autorização para captação de recursos está alinhada à capacidade financeira do município e à destinação específica para projetos estratégicos, garantindo equilíbrio e</w:t>
      </w:r>
    </w:p>
    <w:p w14:paraId="743F280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sustentabilidade às contas públicas. Por essas razões, manifesta-se favoravelmente ao projeto de lei.</w:t>
      </w:r>
    </w:p>
    <w:p w14:paraId="35EF955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Sala das Comissões Reunidas, em 11.12.2024.</w:t>
      </w:r>
    </w:p>
    <w:p w14:paraId="4341341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CONSTITUIÇÃO, JUSTIÇA E LEGISLAÇÃO PARTICIPATIVA</w:t>
      </w:r>
    </w:p>
    <w:p w14:paraId="377888D6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ALESSANDRO GUEDES (PT)</w:t>
      </w:r>
    </w:p>
    <w:p w14:paraId="262646D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DR. MILTON FERREIRA (PODE)</w:t>
      </w:r>
    </w:p>
    <w:p w14:paraId="2578A2C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MARCELO MESSIAS (MDB)</w:t>
      </w:r>
    </w:p>
    <w:p w14:paraId="2009DC7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lastRenderedPageBreak/>
        <w:t>Ver. RICARDO TEIXEIRA (UNIÃO)</w:t>
      </w:r>
    </w:p>
    <w:p w14:paraId="355B030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SANSÃO PEREIRA (REPUBLICANOS)</w:t>
      </w:r>
    </w:p>
    <w:p w14:paraId="7F90799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XEXÉU TRIPOLI (UNIÃO)</w:t>
      </w:r>
    </w:p>
    <w:p w14:paraId="649653D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 xml:space="preserve">POLÍTICA URBANA, </w:t>
      </w:r>
      <w:proofErr w:type="gramStart"/>
      <w:r w:rsidRPr="006D3580">
        <w:rPr>
          <w:rFonts w:ascii="Arial" w:hAnsi="Arial" w:cs="Arial"/>
        </w:rPr>
        <w:t>METROPOLITANA,MEIO</w:t>
      </w:r>
      <w:proofErr w:type="gramEnd"/>
      <w:r w:rsidRPr="006D3580">
        <w:rPr>
          <w:rFonts w:ascii="Arial" w:hAnsi="Arial" w:cs="Arial"/>
        </w:rPr>
        <w:t xml:space="preserve"> AMBIENTE</w:t>
      </w:r>
    </w:p>
    <w:p w14:paraId="761BA78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ARSELINO TATTO (PT)</w:t>
      </w:r>
    </w:p>
    <w:p w14:paraId="1DF72EB4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DANILO DO POSTO DE SAÚDE (PODE)</w:t>
      </w:r>
    </w:p>
    <w:p w14:paraId="2EC773A7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FABIO RIVA (MDB)</w:t>
      </w:r>
    </w:p>
    <w:p w14:paraId="34AC935A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MARLON LUZ (MDB)</w:t>
      </w:r>
    </w:p>
    <w:p w14:paraId="5B9DBAB0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RODRIGO GOULART (PSD)</w:t>
      </w:r>
    </w:p>
    <w:p w14:paraId="4D0FC75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RUBINHO NUNES (UNIÃO)</w:t>
      </w:r>
    </w:p>
    <w:p w14:paraId="715FCA98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ADMINISTRAÇÃO PÚBLICA</w:t>
      </w:r>
    </w:p>
    <w:p w14:paraId="02EC0F9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ELI CORRÊA (UNIÃO)</w:t>
      </w:r>
    </w:p>
    <w:p w14:paraId="351E32A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ELY TERUEL (MDB)</w:t>
      </w:r>
    </w:p>
    <w:p w14:paraId="628ADA2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GILSON BARRETO (MDB)</w:t>
      </w:r>
    </w:p>
    <w:p w14:paraId="03DF3F8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JANAÍNA LIMA (PP)</w:t>
      </w:r>
    </w:p>
    <w:p w14:paraId="26956E45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JOÃO ANANIAS (PT)</w:t>
      </w:r>
    </w:p>
    <w:p w14:paraId="4DB41E70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JUSSARA BASSO (PSB)</w:t>
      </w:r>
    </w:p>
    <w:p w14:paraId="1200929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SONAIRA FERNANDES (PL)</w:t>
      </w:r>
    </w:p>
    <w:p w14:paraId="3B03A363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FINANÇAS E ORÇAMENTO</w:t>
      </w:r>
    </w:p>
    <w:p w14:paraId="159FD73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ATÍLIO FRANCISCO (REPUBLICANOS)</w:t>
      </w:r>
    </w:p>
    <w:p w14:paraId="30105969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DR. ADRIANO SANTOS (PT)</w:t>
      </w:r>
    </w:p>
    <w:p w14:paraId="7E42D15B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ISAC FÉLIX (PL)</w:t>
      </w:r>
    </w:p>
    <w:p w14:paraId="64668372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JAIR TATTO (PT)</w:t>
      </w:r>
    </w:p>
    <w:p w14:paraId="4BCDA220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PAULO FRANGE (MDB)</w:t>
      </w:r>
    </w:p>
    <w:p w14:paraId="2AD18D2D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RINALDI DIGILIO (UNIÃO)</w:t>
      </w:r>
    </w:p>
    <w:p w14:paraId="4421D23C" w14:textId="77777777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RUTE COSTA (PL)</w:t>
      </w:r>
    </w:p>
    <w:p w14:paraId="14A9D578" w14:textId="608B2E4C" w:rsidR="006D3580" w:rsidRPr="006D3580" w:rsidRDefault="006D3580" w:rsidP="006D3580">
      <w:pPr>
        <w:jc w:val="both"/>
        <w:rPr>
          <w:rFonts w:ascii="Arial" w:hAnsi="Arial" w:cs="Arial"/>
        </w:rPr>
      </w:pPr>
      <w:r w:rsidRPr="006D3580">
        <w:rPr>
          <w:rFonts w:ascii="Arial" w:hAnsi="Arial" w:cs="Arial"/>
        </w:rPr>
        <w:t>Ver. SIDNEY CRUZ (MDB)</w:t>
      </w:r>
    </w:p>
    <w:sectPr w:rsidR="006D3580" w:rsidRPr="006D3580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3"/>
    <w:rsid w:val="00304903"/>
    <w:rsid w:val="006352F3"/>
    <w:rsid w:val="006D3580"/>
    <w:rsid w:val="00865A14"/>
    <w:rsid w:val="00A207A0"/>
    <w:rsid w:val="00BB3F0B"/>
    <w:rsid w:val="00C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CD46"/>
  <w15:docId w15:val="{9A7280D2-9A60-489E-B036-6D8B9DA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0639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063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063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5199</Words>
  <Characters>28075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dc:description/>
  <cp:lastModifiedBy>Sabrina Souza Barbosa</cp:lastModifiedBy>
  <cp:revision>2</cp:revision>
  <dcterms:created xsi:type="dcterms:W3CDTF">2024-12-16T13:44:00Z</dcterms:created>
  <dcterms:modified xsi:type="dcterms:W3CDTF">2024-12-16T13:44:00Z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