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B9FC" w14:textId="010E1898" w:rsidR="00B82927" w:rsidRPr="00B82927" w:rsidRDefault="006C1275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3C5BD9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66C2EE8F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F46C102" w14:textId="77777777" w:rsidR="00E65230" w:rsidRDefault="00E65230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98C9A75" w14:textId="77777777" w:rsidR="003C5BD9" w:rsidRDefault="003C5BD9" w:rsidP="007D673E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3CF56A45" w14:textId="77777777" w:rsidR="003C5BD9" w:rsidRDefault="003C5BD9" w:rsidP="007D673E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C5BD9">
        <w:rPr>
          <w:rFonts w:ascii="Arial" w:hAnsi="Arial" w:cs="Arial"/>
          <w:b/>
          <w:bCs/>
          <w:sz w:val="32"/>
          <w:szCs w:val="32"/>
          <w:u w:val="single"/>
        </w:rPr>
        <w:t>RAZÕES DE VETO</w:t>
      </w:r>
    </w:p>
    <w:p w14:paraId="421D6B0E" w14:textId="77777777" w:rsidR="003C5BD9" w:rsidRDefault="003C5BD9" w:rsidP="003C5BD9">
      <w:pPr>
        <w:rPr>
          <w:rFonts w:ascii="Arial" w:hAnsi="Arial" w:cs="Arial"/>
          <w:b/>
          <w:bCs/>
          <w:u w:val="single"/>
        </w:rPr>
      </w:pPr>
    </w:p>
    <w:p w14:paraId="2C658C23" w14:textId="51F1BE46" w:rsidR="003C5BD9" w:rsidRPr="003C5BD9" w:rsidRDefault="003C5BD9" w:rsidP="003C5BD9">
      <w:pPr>
        <w:rPr>
          <w:rFonts w:ascii="Arial" w:hAnsi="Arial" w:cs="Arial"/>
          <w:b/>
          <w:bCs/>
          <w:u w:val="single"/>
        </w:rPr>
      </w:pPr>
      <w:r w:rsidRPr="003C5BD9">
        <w:rPr>
          <w:rFonts w:ascii="Arial" w:hAnsi="Arial" w:cs="Arial"/>
          <w:b/>
          <w:bCs/>
          <w:u w:val="single"/>
        </w:rPr>
        <w:t>Documento: 118255427 | Razões de veto</w:t>
      </w:r>
    </w:p>
    <w:p w14:paraId="4EBDF8AD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RAZÕES DE VETO</w:t>
      </w:r>
    </w:p>
    <w:p w14:paraId="68F9D625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Projeto de Lei nº 521/2018</w:t>
      </w:r>
    </w:p>
    <w:p w14:paraId="5399265A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Ofício ATL SEI nº 118171480</w:t>
      </w:r>
    </w:p>
    <w:p w14:paraId="35612D87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Ref.: Ofício SGP-23 nº 913/2024</w:t>
      </w:r>
    </w:p>
    <w:p w14:paraId="6C1C5DEB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Senhor Presidente,</w:t>
      </w:r>
    </w:p>
    <w:p w14:paraId="135E15B3" w14:textId="4188C272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Por meio do ofício acima referenciado, Vossa Excelência encaminhou à sanção cópia autêntica do Projeto de Lei nº 521/2018, de autoria do Vereador Rodrigo Goulart,</w:t>
      </w:r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 xml:space="preserve">aprovado na sessão de 20 de dezembro de 2024, que acrescenta item 9.4 ao Anexo I da Lei Municipal nº 16.642, de 09 de maio de 2017, que dispõe sobre a alteração do Mapa 1, integrante da Lei nº 16.402/2016, para incluir na ZCOR-2 da Avenida Pacaembu o Lote 018, da Quadra 050, do Setor 011, localizado na esquina da Rua </w:t>
      </w:r>
      <w:proofErr w:type="spellStart"/>
      <w:r w:rsidRPr="003C5BD9">
        <w:rPr>
          <w:rFonts w:ascii="Arial" w:hAnsi="Arial" w:cs="Arial"/>
        </w:rPr>
        <w:t>Itassucê</w:t>
      </w:r>
      <w:proofErr w:type="spellEnd"/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com a Avenida Pacaembu, no Distrito de Perdizes, Subprefeitura da Lapa e altera o zoneamento de outras ruas, quadras e perímetros da Cidade.</w:t>
      </w:r>
    </w:p>
    <w:p w14:paraId="1B732A81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O texto vindo à sanção, contudo, não detém condições de ser sancionado, na conformidade da fundamentação a seguir exposta.</w:t>
      </w:r>
    </w:p>
    <w:p w14:paraId="7589513A" w14:textId="1B89FE7B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De início, cabe observar que as alterações trazidas pela propositura indicam modificações que afetam diretamente o planejado no âmbito: a) de destinação de áreas à</w:t>
      </w:r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provisão habitacional (alteração de diversas ZEIS) b) de estímulo ou preservação de empregos (alteração de ZPI e ZDE); e c) de preservação ambiental (alteração de zona</w:t>
      </w:r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rural e ZPDS), orientando, desse modo, ações conflitantes com as diretrizes estabelecidas até então pelo Poder Público.</w:t>
      </w:r>
    </w:p>
    <w:p w14:paraId="2FFE1CC6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Ademais, há de se considerar que a propositura, aprovada pela Câmara em 20 de dezembro de 2024, implica nova alteração no regramento dado pela Lei de Parcelamento, Uso e Ocupação do Solo, que já contou com um mapa diferente no ano de 2024 (Lei nº 18.177, de 25 de julho de 2024), resultando, assim, em uma segunda modificação ao</w:t>
      </w:r>
    </w:p>
    <w:p w14:paraId="777099E4" w14:textId="18D0A19A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lastRenderedPageBreak/>
        <w:t>longo de um ano. Isso evidencia que as referidas modificações têm sido realizadas sem acompanhar os devidos estudos técnicos e as diretrizes dos instrumentos de</w:t>
      </w:r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planejamento urbano desta Municipalidade.</w:t>
      </w:r>
    </w:p>
    <w:p w14:paraId="2213E0EC" w14:textId="15770A02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Aliás, a Lei Orgânica do Município de São Paulo, em seu art. 46, limita, expressamente, modificações excessivas na legislação referente ao Plano Diretor e ao zoneamento</w:t>
      </w:r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urbano. Cabe observar que, ainda que consideradas as excepcionalidades previstas no citado artigo, as alterações introduzem insegurança ao mercado imobiliário, que passa</w:t>
      </w:r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a não vislumbrar como estabelecidas as regras a serem cumpridas.</w:t>
      </w:r>
    </w:p>
    <w:p w14:paraId="712B6EEE" w14:textId="18237331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Fundamental, portanto, destacar que uma nova alteração nas definições de zoneamento abre precedentes para significativa insegurança jurídica quanto ao regramento</w:t>
      </w:r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urbanístico, além de fragilizar a noção de planejamento na cidade, especialmente tendo em vista que as mudanças no tecido urbano não acontecem em período tão curto</w:t>
      </w:r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quanto o intervalo entre essas modificações.</w:t>
      </w:r>
    </w:p>
    <w:p w14:paraId="2976A586" w14:textId="445EED8B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Por fim, cabe observar que o art.33 do texto aprovado, inserido por meio de emenda, não guarda afinidade, pertinência ou conexão jurídica com o objeto normativo original,</w:t>
      </w:r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que trata de matéria urbanística, estando, portanto, em desconformidade com o artigo 7º, inciso II da LC nº 95/98 e com o entendimento do Supremo Tribunal Federal (ADI</w:t>
      </w:r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2.681 MC, rel. min. Celso de Mello, j. 11-9-2002, P, DJE de 25-10-2013; ADI: 3517 PR, Relator: CELSO DE MELLO, Data de Julgamento: 17/10/2018, Tribunal Pleno, Data de Publicação: 25/06/2019) . A noção de pertinência temática entre a emenda e a proposição original revela-se pela ideia de afinidade lógica, isto é, aquela deve tratar</w:t>
      </w:r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do mesmo conteúdo temático (afinidade) e no mesmo sentido (lógica) da propositura original.</w:t>
      </w:r>
    </w:p>
    <w:p w14:paraId="009994A0" w14:textId="2ED83315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Nessas condições, vejo-me na contingência de vetar na íntegra o texto aprovado, com fundamento no artigo 42, § 1º, da Lei Orgânica do Município de São Paulo,</w:t>
      </w:r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devolvendo o assunto ao reexame dessa Egrégia Casa Legislativa.</w:t>
      </w:r>
      <w:r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Na oportunidade, renovo a Vossa Excelência protestos de apreço e consideração.</w:t>
      </w:r>
    </w:p>
    <w:p w14:paraId="1EE769A9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RICARDO NUNES</w:t>
      </w:r>
    </w:p>
    <w:p w14:paraId="2ECD4054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Prefeito</w:t>
      </w:r>
    </w:p>
    <w:p w14:paraId="1329A3E2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Ao</w:t>
      </w:r>
    </w:p>
    <w:p w14:paraId="3F80CA43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Excelentíssimo Senhor</w:t>
      </w:r>
    </w:p>
    <w:p w14:paraId="4ADC5487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RICARDO TEXEIRA</w:t>
      </w:r>
    </w:p>
    <w:p w14:paraId="01A39BA9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Digníssimo Presidente da Câmara Municipal de São Paulo</w:t>
      </w:r>
    </w:p>
    <w:p w14:paraId="4667F940" w14:textId="56A2E1C7" w:rsid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Documento original assinado nº 118171480</w:t>
      </w:r>
    </w:p>
    <w:p w14:paraId="73A15474" w14:textId="77777777" w:rsidR="003C5BD9" w:rsidRPr="003C5BD9" w:rsidRDefault="003C5BD9" w:rsidP="003C5BD9">
      <w:pPr>
        <w:jc w:val="both"/>
        <w:rPr>
          <w:rFonts w:ascii="Arial" w:hAnsi="Arial" w:cs="Arial"/>
        </w:rPr>
      </w:pPr>
    </w:p>
    <w:p w14:paraId="38675A7F" w14:textId="22DAFEA6" w:rsidR="007D673E" w:rsidRDefault="007D673E" w:rsidP="007D673E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D673E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</w:p>
    <w:p w14:paraId="70077BC5" w14:textId="77777777" w:rsidR="007D673E" w:rsidRDefault="007D673E" w:rsidP="007D673E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0AB5B38F" w14:textId="0F31D32A" w:rsidR="007D673E" w:rsidRDefault="007D673E" w:rsidP="003C5BD9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D673E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68525BD4" w14:textId="77777777" w:rsidR="003C5BD9" w:rsidRPr="003C5BD9" w:rsidRDefault="003C5BD9" w:rsidP="003C5BD9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1518C62E" w14:textId="77777777" w:rsidR="003C5BD9" w:rsidRPr="003C5BD9" w:rsidRDefault="003C5BD9" w:rsidP="003C5BD9">
      <w:pPr>
        <w:jc w:val="both"/>
        <w:rPr>
          <w:rFonts w:ascii="Arial" w:hAnsi="Arial" w:cs="Arial"/>
          <w:b/>
          <w:bCs/>
          <w:u w:val="single"/>
        </w:rPr>
      </w:pPr>
      <w:r w:rsidRPr="003C5BD9">
        <w:rPr>
          <w:rFonts w:ascii="Arial" w:hAnsi="Arial" w:cs="Arial"/>
          <w:b/>
          <w:bCs/>
          <w:u w:val="single"/>
        </w:rPr>
        <w:t>Documento: 118153230 | Despacho</w:t>
      </w:r>
    </w:p>
    <w:p w14:paraId="72778A88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LICENÇA PARA TRATAR DE INTERESSES PARTICULARES</w:t>
      </w:r>
    </w:p>
    <w:p w14:paraId="6F0A699B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DEFIRO, nos termos do art.153 da Lei nº 8.989/79, e do inciso XIV do artigo 1º da Portaria 38/13-SDTE, a partir de 03/02/2025, por 24 meses, ao servidor:</w:t>
      </w:r>
    </w:p>
    <w:p w14:paraId="7D825637" w14:textId="77777777" w:rsidR="003C5BD9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FELIPE DA SILVA SOUSA - RF.: 889.759.0/1</w:t>
      </w:r>
    </w:p>
    <w:p w14:paraId="111A9EB8" w14:textId="3D8BED97" w:rsidR="007D673E" w:rsidRPr="003C5BD9" w:rsidRDefault="003C5BD9" w:rsidP="003C5BD9">
      <w:pPr>
        <w:jc w:val="both"/>
        <w:rPr>
          <w:rFonts w:ascii="Arial" w:hAnsi="Arial" w:cs="Arial"/>
        </w:rPr>
      </w:pPr>
      <w:r w:rsidRPr="003C5BD9">
        <w:rPr>
          <w:rFonts w:ascii="Arial" w:hAnsi="Arial" w:cs="Arial"/>
        </w:rPr>
        <w:t>OBS.: O servidor deverá comparecer no Departamento de Gestão de Pessoas (DGP) da Pasta até 24/01/2025, onde manifestará sua opção pelo recolhimento das</w:t>
      </w:r>
      <w:r w:rsidR="00596907">
        <w:rPr>
          <w:rFonts w:ascii="Arial" w:hAnsi="Arial" w:cs="Arial"/>
        </w:rPr>
        <w:t xml:space="preserve"> </w:t>
      </w:r>
      <w:r w:rsidRPr="003C5BD9">
        <w:rPr>
          <w:rFonts w:ascii="Arial" w:hAnsi="Arial" w:cs="Arial"/>
        </w:rPr>
        <w:t>contribuições previdenciárias.</w:t>
      </w:r>
      <w:r w:rsidRPr="003C5BD9">
        <w:rPr>
          <w:rFonts w:ascii="Arial" w:hAnsi="Arial" w:cs="Arial"/>
        </w:rPr>
        <w:cr/>
      </w:r>
    </w:p>
    <w:sectPr w:rsidR="007D673E" w:rsidRPr="003C5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471CF"/>
    <w:rsid w:val="00057B0A"/>
    <w:rsid w:val="00070B7C"/>
    <w:rsid w:val="000921A0"/>
    <w:rsid w:val="001B7F43"/>
    <w:rsid w:val="00203022"/>
    <w:rsid w:val="002F39DF"/>
    <w:rsid w:val="00355CA5"/>
    <w:rsid w:val="00363104"/>
    <w:rsid w:val="0038441F"/>
    <w:rsid w:val="003C5BD9"/>
    <w:rsid w:val="00401718"/>
    <w:rsid w:val="00420868"/>
    <w:rsid w:val="00447C9D"/>
    <w:rsid w:val="004630E4"/>
    <w:rsid w:val="004B40A8"/>
    <w:rsid w:val="004D0B42"/>
    <w:rsid w:val="004F1F09"/>
    <w:rsid w:val="00596907"/>
    <w:rsid w:val="005E641D"/>
    <w:rsid w:val="00620CBE"/>
    <w:rsid w:val="00624F41"/>
    <w:rsid w:val="00641BC2"/>
    <w:rsid w:val="00654103"/>
    <w:rsid w:val="006A1A69"/>
    <w:rsid w:val="006B388C"/>
    <w:rsid w:val="006C1275"/>
    <w:rsid w:val="007D673E"/>
    <w:rsid w:val="00842E5F"/>
    <w:rsid w:val="008860D3"/>
    <w:rsid w:val="008D55BB"/>
    <w:rsid w:val="00933451"/>
    <w:rsid w:val="00955FF4"/>
    <w:rsid w:val="00A54D02"/>
    <w:rsid w:val="00A63890"/>
    <w:rsid w:val="00AA08F2"/>
    <w:rsid w:val="00B43438"/>
    <w:rsid w:val="00B73B97"/>
    <w:rsid w:val="00B82927"/>
    <w:rsid w:val="00BE011C"/>
    <w:rsid w:val="00C832C6"/>
    <w:rsid w:val="00CD6453"/>
    <w:rsid w:val="00D97C52"/>
    <w:rsid w:val="00E17937"/>
    <w:rsid w:val="00E65230"/>
    <w:rsid w:val="00EC3586"/>
    <w:rsid w:val="00ED0039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43DE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2025-01-22T11:18:00Z</dcterms:created>
  <dcterms:modified xsi:type="dcterms:W3CDTF">2025-01-22T11:35:00Z</dcterms:modified>
</cp:coreProperties>
</file>