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Ata da Reunião Online - Comitê de Proteção Social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23/10/2024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Horário:</w:t>
      </w:r>
      <w:r w:rsidDel="00000000" w:rsidR="00000000" w:rsidRPr="00000000">
        <w:rPr>
          <w:rtl w:val="0"/>
        </w:rPr>
        <w:t xml:space="preserve"> Início às 10h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Participantes:</w:t>
      </w:r>
      <w:r w:rsidDel="00000000" w:rsidR="00000000" w:rsidRPr="00000000">
        <w:rPr>
          <w:rtl w:val="0"/>
        </w:rPr>
        <w:t xml:space="preserve"> Bah, Ligia, Nani (Elaine) e Sandra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Tema:</w:t>
      </w:r>
      <w:r w:rsidDel="00000000" w:rsidR="00000000" w:rsidRPr="00000000">
        <w:rPr>
          <w:rtl w:val="0"/>
        </w:rPr>
        <w:t xml:space="preserve"> Proteção Social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Pauta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reunião teve como tema central a proteção social para pessoas com deficiência, com destaque para aquelas entre 18 e 59 anos, faixa etária menos protegida pelas legislações atuais. Os principais pontos discutidos foram: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Moradia inclusiva e moradia de vida independente para Pessoas com Deficiência: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Debateu-se a necessidade de estabelecer mais moradia inclusiva e moradia de vida independente, especialmente para pessoas com deficiência nessa faixa etária, que muitas vezes não encontram o suporte necessário.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Esteriótipos Prejudiciais: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Foram levantadas preocupações sobre os estereótipos comuns que impactam negativamente as pessoas com deficiência, incluindo: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- A visão equivocada de que cadeirantes apenas "estão sentados" e não possuem outras limitações e agravos de saúde.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- A discriminação contra pessoas com o cordão de autismo em filas prioritárias, sem compreensão das suas possíveis crises.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- A tendência de ignorar as prioridades dos cadeirantes em filas ou atendimentos por acreditarem que sua limitação é apenas motora.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os cordões identificam apenas, de forma generalizada, que a pessoa que o utiliza tem algum tipo de deficiência, mas não demonstram suas necessidades específicas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Os cordões indicativos de deficiência oculta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Abordou-se a preocupação de que os cordões destinados a sinalizar deficiências ocultas podem ser adquiridos ilegalmente por qualquer pessoa, o que prejudica a credibilidade do seu uso.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Generalização de Deficiências Intelectuais e Físicas: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Discutiu-se a generalização inadequada de agrupar pessoas com deficiência intelectual junto a outras deficiências, desconsiderando as necessidades específicas de cada grupo.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Acordo sobre Projeto de Divulgação: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Foi acordado que será elaborado um projeto de divulgação com foco na proteção social para pessoas com deficiência, visando combater os estereótipos e disseminar informação correta sobre as diferentes necessidades.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Próximas Reuniões: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A equipe do Comitê de Proteção Social se reunirá, de forma online, toda terceira quarta-feira do mês, às 10h. Excepcionalmente em novembro de 2024, a reunião será realizada na quarta quarta-feira do mês, devido ao feriado do dia 20 de novembro, que cairá na terceira quarta-feira.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Encerramento: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reunião foi encerrada às 11h, com todos os pontos devidamente discutidos e os próximos passos definidos.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